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2C" w:rsidRDefault="005E6B2C" w:rsidP="005E6B2C">
      <w:pPr>
        <w:spacing w:after="0"/>
        <w:jc w:val="both"/>
        <w:rPr>
          <w:rFonts w:asciiTheme="majorHAnsi" w:hAnsiTheme="majorHAnsi"/>
        </w:rPr>
      </w:pPr>
      <w:r w:rsidRPr="006A622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-203200</wp:posOffset>
                </wp:positionV>
                <wp:extent cx="2889250" cy="303530"/>
                <wp:effectExtent l="0" t="0" r="635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5F6D" w:rsidRPr="000D3E5B" w:rsidRDefault="003B169A" w:rsidP="00055F6D">
                            <w:pPr>
                              <w:rPr>
                                <w:rFonts w:asciiTheme="majorHAnsi" w:hAnsiTheme="majorHAnsi"/>
                                <w:caps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caps/>
                                <w:color w:val="000000"/>
                                <w:szCs w:val="20"/>
                              </w:rPr>
                              <w:t>structured facilities monitoring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2pt;margin-top:-16pt;width:227.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xyQAIAAHkEAAAOAAAAZHJzL2Uyb0RvYy54bWysVE1v2zAMvQ/YfxB0X5yvdqlRp8hSZBhQ&#10;tAXSoWdFlhsDsqhJSuzu1+9Jdtqu22nYRaZIiuTjI3151TWaHZXzNZmCT0ZjzpSRVNbmqeDfHzaf&#10;Fpz5IEwpNBlV8Gfl+dXy44fL1uZqSnvSpXIMQYzPW1vwfQg2zzIv96oRfkRWGRgrco0IuLqnrHSi&#10;RfRGZ9Px+DxryZXWkVTeQ3vdG/kyxa8qJcNdVXkVmC44agvpdOncxTNbXor8yQm7r+VQhviHKhpR&#10;GyR9CXUtgmAHV/8RqqmlI09VGElqMqqqWqqEAWgm43dotnthVcKC5nj70ib//8LK2+O9Y3UJ7jgz&#10;ogFFD6oL7At1bBK701qfw2lr4RY6qKPnoPdQRtBd5Zr4BRwGO/r8/NLbGExCOV0sLqZnMEnYZuPZ&#10;2Sw1P3t9bZ0PXxU1LAoFd+AutVQcb3xARrieXGIyT7ouN7XW6RLnRa21Y0cBpnVINeLFb17asLbg&#10;5zOUER8Zis/7yNogQcTaY4pS6HbdAHRH5TPwO+rnx1u5qVHkjfDhXjgMDHBhCcIdjkoTktAgcbYn&#10;9/Nv+ugPHmHlrMUAFtz/OAinONPfDBi+mMzncWLTZX72eYqLe2vZvbWYQ7MmIAeLqC6J0T/ok1g5&#10;ah6xK6uYFSZhJHIXPJzEdejXArsm1WqVnDCjVoQbs7Uyho5NixQ8dI/C2YGnAIZv6TSqIn9HV+/b&#10;t3t1CFTVicvY4L6rQ98x34niYRfjAr29J6/XP8byFwAAAP//AwBQSwMEFAAGAAgAAAAhAEtXkdrh&#10;AAAACwEAAA8AAABkcnMvZG93bnJldi54bWxMj81OwzAQhO9IvIO1SFxQ69D0N8SpEAIqcaMpIG5u&#10;vCQR8TqK3SS8PdsT3L7RjmZn0u1oG9Fj52tHCm6nEQikwpmaSgWH/GmyBuGDJqMbR6jgBz1ss8uL&#10;VCfGDfSK/T6UgkPIJ1pBFUKbSOmLCq32U9ci8e3LdVYHll0pTacHDreNnEXRUlpdE3+odIsPFRbf&#10;+5NV8HlTfrz48fltiBdx+7jr89W7yZW6vhrv70AEHMOfGc71uTpk3OnoTmS8aBQs53PeEhRM4hnD&#10;2RFtNkxHpsUaZJbK/xuyXwAAAP//AwBQSwECLQAUAAYACAAAACEAtoM4kv4AAADhAQAAEwAAAAAA&#10;AAAAAAAAAAAAAAAAW0NvbnRlbnRfVHlwZXNdLnhtbFBLAQItABQABgAIAAAAIQA4/SH/1gAAAJQB&#10;AAALAAAAAAAAAAAAAAAAAC8BAABfcmVscy8ucmVsc1BLAQItABQABgAIAAAAIQC/vAxyQAIAAHkE&#10;AAAOAAAAAAAAAAAAAAAAAC4CAABkcnMvZTJvRG9jLnhtbFBLAQItABQABgAIAAAAIQBLV5Ha4QAA&#10;AAsBAAAPAAAAAAAAAAAAAAAAAJoEAABkcnMvZG93bnJldi54bWxQSwUGAAAAAAQABADzAAAAqAUA&#10;AAAA&#10;" fillcolor="white [3201]" stroked="f" strokeweight=".5pt">
                <v:textbox>
                  <w:txbxContent>
                    <w:p w:rsidR="00055F6D" w:rsidRPr="000D3E5B" w:rsidRDefault="003B169A" w:rsidP="00055F6D">
                      <w:pPr>
                        <w:rPr>
                          <w:rFonts w:asciiTheme="majorHAnsi" w:hAnsiTheme="majorHAnsi"/>
                          <w:caps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Cs/>
                          <w:caps/>
                          <w:color w:val="000000"/>
                          <w:szCs w:val="20"/>
                        </w:rPr>
                        <w:t>structured facilities monitoring narrative</w:t>
                      </w:r>
                    </w:p>
                  </w:txbxContent>
                </v:textbox>
              </v:shape>
            </w:pict>
          </mc:Fallback>
        </mc:AlternateContent>
      </w:r>
    </w:p>
    <w:p w:rsidR="00AF6DD9" w:rsidRPr="006A622C" w:rsidRDefault="00FD0D2F" w:rsidP="007F446C">
      <w:pPr>
        <w:spacing w:before="240"/>
        <w:jc w:val="both"/>
        <w:rPr>
          <w:rFonts w:asciiTheme="majorHAnsi" w:hAnsiTheme="majorHAnsi"/>
        </w:rPr>
      </w:pPr>
      <w:r w:rsidRPr="00A8420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F6A9E" wp14:editId="3DFA1F6B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864350" cy="251460"/>
                <wp:effectExtent l="0" t="0" r="1270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251460"/>
                        </a:xfrm>
                        <a:prstGeom prst="rect">
                          <a:avLst/>
                        </a:prstGeom>
                        <a:solidFill>
                          <a:srgbClr val="CBC8C3"/>
                        </a:solidFill>
                        <a:ln w="9525">
                          <a:solidFill>
                            <a:srgbClr val="CCCF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93" w:rsidRDefault="00571893" w:rsidP="00571893">
                            <w:r>
                              <w:t>General Facility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F6A9E" id="Rectangle 7" o:spid="_x0000_s1027" style="position:absolute;left:0;text-align:left;margin-left:0;margin-top:2.55pt;width:540.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QOMQIAAE4EAAAOAAAAZHJzL2Uyb0RvYy54bWysVMGO0zAQvSPxD5bvNE23abtR09WSUoS0&#10;wIqFD3Adp7FwbDN2m5SvZ+x0uy1wQuRgzWTGL2/ezGR517eKHAQ4aXRB09GYEqG5qaTeFfTb182b&#10;BSXOM10xZbQo6FE4erd6/WrZ2VxMTGNUJYAgiHZ5ZwvaeG/zJHG8ES1zI2OFxmBtoGUeXdglFbAO&#10;0VuVTMbjWdIZqCwYLpzDt+shSFcRv64F95/r2glPVEGRm48nxHMbzmS1ZPkOmG0kP9Fg/8CiZVLj&#10;R89Qa+YZ2YP8A6qVHIwztR9x0yamriUXsQasJh3/Vs1Tw6yItaA4zp5lcv8Pln86PAKRVUHnlGjW&#10;You+oGhM75Qg8yBPZ12OWU/2EUKBzj4Y/t0RbcoGs8Q9gOkawSoklYb85OpCcBxeJdvuo6kQne29&#10;iUr1NbQBEDUgfWzI8dwQ0XvC8eVsMZveZNg3jrFJlk5nsWMJy59vW3D+vTAtCUZBAblHdHZ4cD6w&#10;YflzSmRvlKw2UqnowG5bKiAHhsNRvi0X5U0sAIu8TFOadAW9zSZZRL6KuSuIstyss79BtNLjlCvZ&#10;FnQxDk9IYnmQ7Z2uou2ZVIONlJU+6RikG1rg+20f+xRFDrJuTXVEYcEMQ41LiEZj4CclHQ50Qd2P&#10;PQNBifqgsTm36XQaNiA602w+QQcuI9vLCNMcoQrqKRnM0g9bs7cgdw1+KY1qaHOPDa1l1PqF1Yk+&#10;Dm1swWnBwlZc+jHr5Tew+gUAAP//AwBQSwMEFAAGAAgAAAAhAB2AwT3cAAAABgEAAA8AAABkcnMv&#10;ZG93bnJldi54bWxMj8FOwzAQRO9I/IO1SNyoE5RAFbKpEBI9IQEFoXJz4yWJiNfGdpvw97inctyZ&#10;0czbejWbURzIh8EyQr7IQBC3Vg/cIby/PV4tQYSoWKvRMiH8UoBVc35Wq0rbiV/psImdSCUcKoXQ&#10;x+gqKUPbk1FhYR1x8r6sNyqm03dSezWlcjPK6yy7kUYNnBZ65eihp/Z7szcI26fPl5/p2fn11pVT&#10;Xg62+FhbxMuL+f4ORKQ5nsJwxE/o0CSmnd2zDmJESI9EhDIHcTSzZZ6EHUJR3IJsavkfv/kDAAD/&#10;/wMAUEsBAi0AFAAGAAgAAAAhALaDOJL+AAAA4QEAABMAAAAAAAAAAAAAAAAAAAAAAFtDb250ZW50&#10;X1R5cGVzXS54bWxQSwECLQAUAAYACAAAACEAOP0h/9YAAACUAQAACwAAAAAAAAAAAAAAAAAvAQAA&#10;X3JlbHMvLnJlbHNQSwECLQAUAAYACAAAACEASO4EDjECAABOBAAADgAAAAAAAAAAAAAAAAAuAgAA&#10;ZHJzL2Uyb0RvYy54bWxQSwECLQAUAAYACAAAACEAHYDBPdwAAAAGAQAADwAAAAAAAAAAAAAAAACL&#10;BAAAZHJzL2Rvd25yZXYueG1sUEsFBgAAAAAEAAQA8wAAAJQFAAAAAA==&#10;" fillcolor="#cbc8c3" strokecolor="#cccfd5">
                <v:textbox>
                  <w:txbxContent>
                    <w:p w:rsidR="00571893" w:rsidRDefault="00571893" w:rsidP="00571893">
                      <w:r>
                        <w:t>General Facility Information</w:t>
                      </w:r>
                    </w:p>
                  </w:txbxContent>
                </v:textbox>
              </v:rect>
            </w:pict>
          </mc:Fallback>
        </mc:AlternateContent>
      </w:r>
      <w:r w:rsidR="00AF6DD9" w:rsidRPr="006A622C">
        <w:rPr>
          <w:rFonts w:asciiTheme="majorHAnsi" w:hAnsiTheme="majorHAnsi"/>
        </w:rPr>
        <w:t xml:space="preserve"> </w:t>
      </w:r>
    </w:p>
    <w:p w:rsidR="00DB72C0" w:rsidRPr="00DF3190" w:rsidRDefault="00DB72C0" w:rsidP="00DB72C0">
      <w:pPr>
        <w:pStyle w:val="Heading2"/>
        <w:tabs>
          <w:tab w:val="num" w:pos="2700"/>
        </w:tabs>
        <w:rPr>
          <w:sz w:val="20"/>
          <w:szCs w:val="20"/>
        </w:rPr>
      </w:pPr>
      <w:r w:rsidRPr="00571893">
        <w:rPr>
          <w:color w:val="auto"/>
          <w:sz w:val="20"/>
          <w:szCs w:val="20"/>
        </w:rPr>
        <w:t>Facility Name:</w:t>
      </w:r>
      <w:r w:rsidRPr="00DF3190">
        <w:rPr>
          <w:sz w:val="20"/>
          <w:szCs w:val="20"/>
        </w:rPr>
        <w:tab/>
      </w:r>
      <w:r w:rsidRPr="003D03D1">
        <w:rPr>
          <w:color w:val="238196" w:themeColor="accent2"/>
          <w:sz w:val="20"/>
          <w:szCs w:val="20"/>
        </w:rPr>
        <w:t>(use name as referenced in MSFMS)</w:t>
      </w:r>
    </w:p>
    <w:p w:rsidR="00DB72C0" w:rsidRPr="00DF3190" w:rsidRDefault="00DB72C0" w:rsidP="00DB72C0">
      <w:pPr>
        <w:tabs>
          <w:tab w:val="num" w:pos="2700"/>
        </w:tabs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b/>
          <w:szCs w:val="20"/>
        </w:rPr>
        <w:t>Reporting Period</w:t>
      </w:r>
      <w:r w:rsidRPr="00DF3190">
        <w:rPr>
          <w:rFonts w:asciiTheme="majorHAnsi" w:hAnsiTheme="majorHAnsi"/>
          <w:szCs w:val="20"/>
        </w:rPr>
        <w:t>:</w:t>
      </w:r>
      <w:r w:rsidRPr="00DF3190">
        <w:rPr>
          <w:rFonts w:asciiTheme="majorHAnsi" w:hAnsiTheme="majorHAnsi"/>
          <w:szCs w:val="20"/>
        </w:rPr>
        <w:tab/>
      </w:r>
      <w:r w:rsidRPr="003D03D1">
        <w:rPr>
          <w:rFonts w:asciiTheme="majorHAnsi" w:hAnsiTheme="majorHAnsi"/>
          <w:color w:val="238196" w:themeColor="accent2"/>
          <w:szCs w:val="20"/>
        </w:rPr>
        <w:t>(i.e. Jan-March 2010)</w:t>
      </w:r>
    </w:p>
    <w:p w:rsidR="00DB72C0" w:rsidRPr="00DF3190" w:rsidRDefault="00DB72C0" w:rsidP="00DB72C0">
      <w:pPr>
        <w:tabs>
          <w:tab w:val="num" w:pos="2700"/>
        </w:tabs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b/>
          <w:szCs w:val="20"/>
        </w:rPr>
        <w:t>Date Report Completed</w:t>
      </w:r>
      <w:r w:rsidRPr="00DF3190">
        <w:rPr>
          <w:rFonts w:asciiTheme="majorHAnsi" w:hAnsiTheme="majorHAnsi"/>
          <w:szCs w:val="20"/>
        </w:rPr>
        <w:t>:</w:t>
      </w:r>
      <w:r w:rsidRPr="00DF3190">
        <w:rPr>
          <w:rFonts w:asciiTheme="majorHAnsi" w:hAnsiTheme="majorHAnsi"/>
          <w:szCs w:val="20"/>
        </w:rPr>
        <w:tab/>
      </w:r>
      <w:r w:rsidRPr="005F2ABA">
        <w:rPr>
          <w:rFonts w:asciiTheme="majorHAnsi" w:hAnsiTheme="majorHAnsi"/>
          <w:color w:val="238196" w:themeColor="accent2"/>
          <w:szCs w:val="20"/>
        </w:rPr>
        <w:t>(i.e. May 30, 2010)</w:t>
      </w:r>
    </w:p>
    <w:p w:rsidR="00DB72C0" w:rsidRPr="00DF3190" w:rsidRDefault="00DB72C0" w:rsidP="00DB72C0">
      <w:pPr>
        <w:tabs>
          <w:tab w:val="num" w:pos="2700"/>
        </w:tabs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b/>
          <w:szCs w:val="20"/>
        </w:rPr>
        <w:t>Type of Facility</w:t>
      </w:r>
      <w:r w:rsidRPr="00DF3190">
        <w:rPr>
          <w:rFonts w:asciiTheme="majorHAnsi" w:hAnsiTheme="majorHAnsi"/>
          <w:szCs w:val="20"/>
        </w:rPr>
        <w:t>:</w:t>
      </w:r>
      <w:r w:rsidRPr="00DF3190">
        <w:rPr>
          <w:rFonts w:asciiTheme="majorHAnsi" w:hAnsiTheme="majorHAnsi"/>
          <w:szCs w:val="20"/>
        </w:rPr>
        <w:tab/>
      </w:r>
      <w:r w:rsidRPr="005F2ABA">
        <w:rPr>
          <w:rFonts w:asciiTheme="majorHAnsi" w:hAnsiTheme="majorHAnsi"/>
          <w:color w:val="238196" w:themeColor="accent2"/>
          <w:szCs w:val="20"/>
        </w:rPr>
        <w:t>Credit Facility or Bulk Delivery</w:t>
      </w:r>
    </w:p>
    <w:p w:rsidR="00DB72C0" w:rsidRPr="00DF3190" w:rsidRDefault="00DB72C0" w:rsidP="00DB72C0">
      <w:pPr>
        <w:tabs>
          <w:tab w:val="num" w:pos="2700"/>
        </w:tabs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b/>
          <w:szCs w:val="20"/>
        </w:rPr>
        <w:t>Facility Maturity Date</w:t>
      </w:r>
      <w:r w:rsidRPr="00DF3190">
        <w:rPr>
          <w:rFonts w:asciiTheme="majorHAnsi" w:hAnsiTheme="majorHAnsi"/>
          <w:szCs w:val="20"/>
        </w:rPr>
        <w:t>:</w:t>
      </w:r>
      <w:r w:rsidRPr="00DF3190">
        <w:rPr>
          <w:rFonts w:asciiTheme="majorHAnsi" w:hAnsiTheme="majorHAnsi"/>
          <w:szCs w:val="20"/>
        </w:rPr>
        <w:tab/>
      </w:r>
      <w:r w:rsidRPr="005F2ABA">
        <w:rPr>
          <w:rFonts w:asciiTheme="majorHAnsi" w:hAnsiTheme="majorHAnsi"/>
          <w:color w:val="238196" w:themeColor="accent2"/>
          <w:szCs w:val="20"/>
        </w:rPr>
        <w:t>September 30, 2016</w:t>
      </w:r>
    </w:p>
    <w:p w:rsidR="00DB72C0" w:rsidRPr="00DF3190" w:rsidRDefault="00DB72C0" w:rsidP="00DB72C0">
      <w:pPr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b/>
          <w:szCs w:val="20"/>
        </w:rPr>
        <w:t>Note Maturity Dates with Amounts Outstanding</w:t>
      </w:r>
      <w:r w:rsidRPr="00DF3190">
        <w:rPr>
          <w:rFonts w:asciiTheme="majorHAnsi" w:hAnsiTheme="majorHAnsi"/>
          <w:szCs w:val="20"/>
        </w:rPr>
        <w:t xml:space="preserve">: </w:t>
      </w:r>
    </w:p>
    <w:p w:rsidR="00DB72C0" w:rsidRPr="00DF3190" w:rsidRDefault="00DB72C0" w:rsidP="00DB72C0">
      <w:pPr>
        <w:rPr>
          <w:rFonts w:asciiTheme="majorHAnsi" w:hAnsiTheme="majorHAnsi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DB72C0" w:rsidRPr="00DF3190" w:rsidTr="00D86D39">
        <w:trPr>
          <w:jc w:val="center"/>
        </w:trPr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>Execution</w:t>
            </w:r>
          </w:p>
        </w:tc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>Amortizing/IO</w:t>
            </w:r>
          </w:p>
        </w:tc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>Maturity Date</w:t>
            </w:r>
          </w:p>
        </w:tc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>Outstanding UPB</w:t>
            </w:r>
          </w:p>
        </w:tc>
      </w:tr>
      <w:tr w:rsidR="00DB72C0" w:rsidRPr="00DF3190" w:rsidTr="00D86D39">
        <w:trPr>
          <w:jc w:val="center"/>
        </w:trPr>
        <w:tc>
          <w:tcPr>
            <w:tcW w:w="2214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MBS</w:t>
            </w:r>
          </w:p>
        </w:tc>
        <w:tc>
          <w:tcPr>
            <w:tcW w:w="2214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I/O</w:t>
            </w:r>
          </w:p>
        </w:tc>
        <w:tc>
          <w:tcPr>
            <w:tcW w:w="2214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3/31/15</w:t>
            </w:r>
          </w:p>
        </w:tc>
        <w:tc>
          <w:tcPr>
            <w:tcW w:w="2214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$100,000,000</w:t>
            </w:r>
          </w:p>
        </w:tc>
      </w:tr>
      <w:tr w:rsidR="00DB72C0" w:rsidRPr="00DF3190" w:rsidTr="00D86D39">
        <w:trPr>
          <w:jc w:val="center"/>
        </w:trPr>
        <w:tc>
          <w:tcPr>
            <w:tcW w:w="2214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Fixed Cash</w:t>
            </w:r>
          </w:p>
        </w:tc>
        <w:tc>
          <w:tcPr>
            <w:tcW w:w="2214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Amortizing</w:t>
            </w:r>
          </w:p>
        </w:tc>
        <w:tc>
          <w:tcPr>
            <w:tcW w:w="2214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9/30/16</w:t>
            </w:r>
          </w:p>
        </w:tc>
        <w:tc>
          <w:tcPr>
            <w:tcW w:w="2214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$50,000,000</w:t>
            </w:r>
          </w:p>
        </w:tc>
      </w:tr>
      <w:tr w:rsidR="00DB72C0" w:rsidRPr="00DF3190" w:rsidTr="00D86D39">
        <w:trPr>
          <w:jc w:val="center"/>
        </w:trPr>
        <w:tc>
          <w:tcPr>
            <w:tcW w:w="2214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DMBS</w:t>
            </w:r>
          </w:p>
        </w:tc>
        <w:tc>
          <w:tcPr>
            <w:tcW w:w="2214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I/O</w:t>
            </w:r>
          </w:p>
        </w:tc>
        <w:tc>
          <w:tcPr>
            <w:tcW w:w="2214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10/1/10</w:t>
            </w:r>
          </w:p>
        </w:tc>
        <w:tc>
          <w:tcPr>
            <w:tcW w:w="2214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$30,000,000</w:t>
            </w:r>
          </w:p>
        </w:tc>
      </w:tr>
      <w:tr w:rsidR="00DB72C0" w:rsidRPr="00DF3190" w:rsidTr="00D86D39">
        <w:trPr>
          <w:jc w:val="center"/>
        </w:trPr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</w:tr>
      <w:tr w:rsidR="00DB72C0" w:rsidRPr="00DF3190" w:rsidTr="00D86D39">
        <w:trPr>
          <w:jc w:val="center"/>
        </w:trPr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</w:tr>
      <w:tr w:rsidR="00DB72C0" w:rsidRPr="00DF3190" w:rsidTr="00D86D39">
        <w:trPr>
          <w:jc w:val="center"/>
        </w:trPr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  <w:tc>
          <w:tcPr>
            <w:tcW w:w="2214" w:type="dxa"/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</w:tr>
    </w:tbl>
    <w:p w:rsidR="00DB72C0" w:rsidRPr="00DF3190" w:rsidRDefault="00DB72C0" w:rsidP="00DB72C0">
      <w:pPr>
        <w:rPr>
          <w:rFonts w:asciiTheme="majorHAnsi" w:hAnsiTheme="majorHAnsi"/>
          <w:b/>
          <w:szCs w:val="20"/>
        </w:rPr>
      </w:pPr>
    </w:p>
    <w:p w:rsidR="00DB72C0" w:rsidRPr="00D86D39" w:rsidRDefault="00DB72C0" w:rsidP="00D86D39">
      <w:pPr>
        <w:pStyle w:val="Heading3"/>
        <w:keepLines w:val="0"/>
        <w:numPr>
          <w:ilvl w:val="0"/>
          <w:numId w:val="17"/>
        </w:numPr>
        <w:spacing w:after="0"/>
        <w:rPr>
          <w:color w:val="auto"/>
          <w:sz w:val="20"/>
          <w:szCs w:val="20"/>
          <w:u w:val="single"/>
        </w:rPr>
      </w:pPr>
      <w:r w:rsidRPr="00D86D39">
        <w:rPr>
          <w:color w:val="auto"/>
          <w:sz w:val="20"/>
          <w:szCs w:val="20"/>
          <w:u w:val="single"/>
        </w:rPr>
        <w:t>Credit Facility/Bulk Delivery Analysis</w:t>
      </w:r>
    </w:p>
    <w:p w:rsidR="00DB72C0" w:rsidRPr="00DF3190" w:rsidRDefault="00DB72C0" w:rsidP="00DB72C0">
      <w:pPr>
        <w:tabs>
          <w:tab w:val="num" w:pos="1080"/>
        </w:tabs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ab/>
        <w:t>Coverage and LTV:</w:t>
      </w:r>
    </w:p>
    <w:p w:rsidR="00DB72C0" w:rsidRPr="00DF3190" w:rsidRDefault="00DB72C0" w:rsidP="00DB72C0">
      <w:pPr>
        <w:tabs>
          <w:tab w:val="num" w:pos="1080"/>
        </w:tabs>
        <w:rPr>
          <w:rFonts w:asciiTheme="majorHAnsi" w:hAnsiTheme="majorHAnsi"/>
          <w:szCs w:val="20"/>
        </w:rPr>
      </w:pPr>
    </w:p>
    <w:p w:rsidR="00DB72C0" w:rsidRPr="00DF3190" w:rsidRDefault="00DB72C0" w:rsidP="00DB72C0">
      <w:pPr>
        <w:tabs>
          <w:tab w:val="num" w:pos="1080"/>
        </w:tabs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ab/>
        <w:t xml:space="preserve">DSCR Compliance Test: </w:t>
      </w:r>
      <w:r w:rsidRPr="005F2ABA">
        <w:rPr>
          <w:rFonts w:asciiTheme="majorHAnsi" w:hAnsiTheme="majorHAnsi"/>
          <w:color w:val="238196" w:themeColor="accent2"/>
          <w:szCs w:val="20"/>
        </w:rPr>
        <w:t>1.20 amortizing (state if amortizing, stressed, or I/O)</w:t>
      </w:r>
    </w:p>
    <w:p w:rsidR="00DB72C0" w:rsidRPr="00DF3190" w:rsidRDefault="00DB72C0" w:rsidP="00DB72C0">
      <w:pPr>
        <w:tabs>
          <w:tab w:val="num" w:pos="1080"/>
        </w:tabs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ab/>
        <w:t xml:space="preserve">LTV Compliance Test: </w:t>
      </w:r>
      <w:r w:rsidRPr="005F2ABA">
        <w:rPr>
          <w:rFonts w:asciiTheme="majorHAnsi" w:hAnsiTheme="majorHAnsi"/>
          <w:color w:val="238196" w:themeColor="accent2"/>
          <w:szCs w:val="20"/>
        </w:rPr>
        <w:t>75%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2160"/>
        <w:gridCol w:w="2160"/>
        <w:gridCol w:w="2160"/>
      </w:tblGrid>
      <w:tr w:rsidR="00DB72C0" w:rsidRPr="00DF3190" w:rsidTr="00D86D39">
        <w:trPr>
          <w:cantSplit/>
          <w:trHeight w:val="230"/>
          <w:jc w:val="center"/>
        </w:trPr>
        <w:tc>
          <w:tcPr>
            <w:tcW w:w="1800" w:type="dxa"/>
            <w:tcBorders>
              <w:bottom w:val="double" w:sz="4" w:space="0" w:color="auto"/>
            </w:tcBorders>
          </w:tcPr>
          <w:p w:rsidR="00DB72C0" w:rsidRPr="00DF3190" w:rsidRDefault="00DB72C0" w:rsidP="00522F84">
            <w:pPr>
              <w:pStyle w:val="Heading8"/>
              <w:rPr>
                <w:sz w:val="20"/>
                <w:szCs w:val="20"/>
              </w:rPr>
            </w:pPr>
            <w:r w:rsidRPr="00DF3190">
              <w:rPr>
                <w:sz w:val="20"/>
                <w:szCs w:val="20"/>
              </w:rPr>
              <w:t>Coverage Description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>Current Reporting Period – Compliance Test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>Previous Reporting Period – Compliance Test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>Current Reporting Period – Actual Debt Service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>Previous Reporting Period – Actual Debt Service</w:t>
            </w:r>
          </w:p>
        </w:tc>
      </w:tr>
      <w:tr w:rsidR="00DB72C0" w:rsidRPr="00DF3190" w:rsidTr="00D86D39">
        <w:trPr>
          <w:cantSplit/>
          <w:trHeight w:val="230"/>
          <w:jc w:val="center"/>
        </w:trPr>
        <w:tc>
          <w:tcPr>
            <w:tcW w:w="1800" w:type="dxa"/>
            <w:tcBorders>
              <w:top w:val="nil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>DSCR - 3 month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000000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000000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1.55</w:t>
            </w:r>
          </w:p>
        </w:tc>
        <w:tc>
          <w:tcPr>
            <w:tcW w:w="2160" w:type="dxa"/>
            <w:tcBorders>
              <w:top w:val="nil"/>
            </w:tcBorders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1.24</w:t>
            </w:r>
          </w:p>
        </w:tc>
      </w:tr>
      <w:tr w:rsidR="00DB72C0" w:rsidRPr="00DF3190" w:rsidTr="00D86D39">
        <w:trPr>
          <w:cantSplit/>
          <w:trHeight w:val="230"/>
          <w:jc w:val="center"/>
        </w:trPr>
        <w:tc>
          <w:tcPr>
            <w:tcW w:w="1800" w:type="dxa"/>
            <w:tcBorders>
              <w:bottom w:val="single" w:sz="4" w:space="0" w:color="auto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 xml:space="preserve">DSCR - 12 month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1.65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1.55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1.70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1.63</w:t>
            </w:r>
          </w:p>
        </w:tc>
      </w:tr>
      <w:tr w:rsidR="00DB72C0" w:rsidRPr="00DF3190" w:rsidTr="00D86D39">
        <w:trPr>
          <w:cantSplit/>
          <w:trHeight w:val="230"/>
          <w:jc w:val="center"/>
        </w:trPr>
        <w:tc>
          <w:tcPr>
            <w:tcW w:w="1800" w:type="dxa"/>
          </w:tcPr>
          <w:p w:rsidR="00DB72C0" w:rsidRPr="00DF3190" w:rsidRDefault="00DB72C0" w:rsidP="00522F84">
            <w:pPr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 xml:space="preserve">LTV - 12 month </w:t>
            </w:r>
          </w:p>
        </w:tc>
        <w:tc>
          <w:tcPr>
            <w:tcW w:w="1980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75.2%</w:t>
            </w:r>
          </w:p>
        </w:tc>
        <w:tc>
          <w:tcPr>
            <w:tcW w:w="2160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70.2%</w:t>
            </w:r>
          </w:p>
        </w:tc>
        <w:tc>
          <w:tcPr>
            <w:tcW w:w="2160" w:type="dxa"/>
            <w:shd w:val="clear" w:color="auto" w:fill="000000"/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  <w:tc>
          <w:tcPr>
            <w:tcW w:w="2160" w:type="dxa"/>
            <w:shd w:val="clear" w:color="auto" w:fill="000000"/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</w:tr>
    </w:tbl>
    <w:p w:rsidR="00DB72C0" w:rsidRPr="00DF3190" w:rsidRDefault="00DB72C0" w:rsidP="00DB72C0">
      <w:pPr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 xml:space="preserve">        </w:t>
      </w:r>
    </w:p>
    <w:p w:rsidR="00DB72C0" w:rsidRPr="00DF3190" w:rsidRDefault="00DB72C0" w:rsidP="00D86D39">
      <w:pPr>
        <w:rPr>
          <w:rFonts w:asciiTheme="majorHAnsi" w:hAnsiTheme="majorHAnsi"/>
          <w:b/>
          <w:szCs w:val="20"/>
          <w:u w:val="single"/>
        </w:rPr>
      </w:pPr>
      <w:r w:rsidRPr="00DF3190">
        <w:rPr>
          <w:rFonts w:asciiTheme="majorHAnsi" w:hAnsiTheme="majorHAnsi"/>
          <w:szCs w:val="20"/>
        </w:rPr>
        <w:t xml:space="preserve">         </w:t>
      </w:r>
      <w:r w:rsidRPr="00DF3190">
        <w:rPr>
          <w:rFonts w:asciiTheme="majorHAnsi" w:hAnsiTheme="majorHAnsi"/>
          <w:b/>
          <w:szCs w:val="20"/>
          <w:u w:val="single"/>
        </w:rPr>
        <w:t>Trends in DSCR and LTV:</w:t>
      </w:r>
      <w:r w:rsidRPr="00DF3190">
        <w:rPr>
          <w:rFonts w:asciiTheme="majorHAnsi" w:hAnsiTheme="majorHAnsi"/>
          <w:b/>
          <w:szCs w:val="20"/>
        </w:rPr>
        <w:t xml:space="preserve"> </w:t>
      </w:r>
      <w:r w:rsidRPr="00DF3190">
        <w:rPr>
          <w:rFonts w:asciiTheme="majorHAnsi" w:hAnsiTheme="majorHAnsi"/>
          <w:szCs w:val="20"/>
        </w:rPr>
        <w:t xml:space="preserve"> Fill out the table below by adding a row for the new reporting period.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260"/>
        <w:gridCol w:w="900"/>
      </w:tblGrid>
      <w:tr w:rsidR="00DB72C0" w:rsidRPr="00DF3190" w:rsidTr="00D86D39">
        <w:trPr>
          <w:cantSplit/>
          <w:trHeight w:val="230"/>
        </w:trPr>
        <w:tc>
          <w:tcPr>
            <w:tcW w:w="1237" w:type="dxa"/>
            <w:tcBorders>
              <w:bottom w:val="double" w:sz="4" w:space="0" w:color="auto"/>
            </w:tcBorders>
          </w:tcPr>
          <w:p w:rsidR="00DB72C0" w:rsidRPr="00D86D39" w:rsidRDefault="00DB72C0" w:rsidP="00D86D39">
            <w:pPr>
              <w:spacing w:after="0"/>
              <w:rPr>
                <w:rFonts w:asciiTheme="majorHAnsi" w:hAnsiTheme="majorHAnsi"/>
                <w:b/>
                <w:szCs w:val="20"/>
              </w:rPr>
            </w:pPr>
            <w:r w:rsidRPr="00D86D39">
              <w:rPr>
                <w:rFonts w:asciiTheme="majorHAnsi" w:hAnsiTheme="majorHAnsi"/>
                <w:b/>
                <w:szCs w:val="20"/>
              </w:rPr>
              <w:t xml:space="preserve">Current </w:t>
            </w:r>
          </w:p>
          <w:p w:rsidR="00DB72C0" w:rsidRPr="00DF3190" w:rsidRDefault="00DB72C0" w:rsidP="00D86D39">
            <w:pPr>
              <w:pStyle w:val="Heading8"/>
              <w:spacing w:before="0"/>
              <w:rPr>
                <w:sz w:val="20"/>
                <w:szCs w:val="20"/>
              </w:rPr>
            </w:pPr>
            <w:r w:rsidRPr="00D86D39">
              <w:rPr>
                <w:b/>
                <w:sz w:val="20"/>
                <w:szCs w:val="20"/>
              </w:rPr>
              <w:t>Reporting Period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>Compliance LTV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 xml:space="preserve">Actual DSCR </w:t>
            </w:r>
          </w:p>
        </w:tc>
      </w:tr>
      <w:tr w:rsidR="00DB72C0" w:rsidRPr="00DF3190" w:rsidTr="00D86D39">
        <w:trPr>
          <w:cantSplit/>
          <w:trHeight w:hRule="exact" w:val="252"/>
        </w:trPr>
        <w:tc>
          <w:tcPr>
            <w:tcW w:w="1237" w:type="dxa"/>
            <w:tcBorders>
              <w:top w:val="nil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>1Q 2008</w:t>
            </w:r>
          </w:p>
        </w:tc>
        <w:tc>
          <w:tcPr>
            <w:tcW w:w="1260" w:type="dxa"/>
            <w:tcBorders>
              <w:top w:val="nil"/>
            </w:tcBorders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62.4%</w:t>
            </w:r>
          </w:p>
        </w:tc>
        <w:tc>
          <w:tcPr>
            <w:tcW w:w="900" w:type="dxa"/>
            <w:tcBorders>
              <w:top w:val="nil"/>
            </w:tcBorders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1.55</w:t>
            </w:r>
          </w:p>
        </w:tc>
      </w:tr>
      <w:tr w:rsidR="00DB72C0" w:rsidRPr="00DF3190" w:rsidTr="00D86D39">
        <w:trPr>
          <w:cantSplit/>
          <w:trHeight w:hRule="exact" w:val="252"/>
        </w:trPr>
        <w:tc>
          <w:tcPr>
            <w:tcW w:w="1237" w:type="dxa"/>
            <w:tcBorders>
              <w:bottom w:val="single" w:sz="4" w:space="0" w:color="auto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 xml:space="preserve">2Q 2008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62.4%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1.70</w:t>
            </w:r>
          </w:p>
        </w:tc>
      </w:tr>
      <w:tr w:rsidR="00DB72C0" w:rsidRPr="00DF3190" w:rsidTr="00D86D39">
        <w:trPr>
          <w:cantSplit/>
          <w:trHeight w:hRule="exact" w:val="252"/>
        </w:trPr>
        <w:tc>
          <w:tcPr>
            <w:tcW w:w="1237" w:type="dxa"/>
          </w:tcPr>
          <w:p w:rsidR="00DB72C0" w:rsidRPr="00DF3190" w:rsidRDefault="00DB72C0" w:rsidP="00522F84">
            <w:pPr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>3Q 2008</w:t>
            </w:r>
          </w:p>
        </w:tc>
        <w:tc>
          <w:tcPr>
            <w:tcW w:w="1260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65.5%</w:t>
            </w:r>
          </w:p>
        </w:tc>
        <w:tc>
          <w:tcPr>
            <w:tcW w:w="900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1.72</w:t>
            </w:r>
          </w:p>
        </w:tc>
      </w:tr>
      <w:tr w:rsidR="00DB72C0" w:rsidRPr="00DF3190" w:rsidTr="00D86D39">
        <w:trPr>
          <w:cantSplit/>
          <w:trHeight w:hRule="exact" w:val="252"/>
        </w:trPr>
        <w:tc>
          <w:tcPr>
            <w:tcW w:w="1237" w:type="dxa"/>
          </w:tcPr>
          <w:p w:rsidR="00DB72C0" w:rsidRPr="00DF3190" w:rsidRDefault="00DB72C0" w:rsidP="00522F84">
            <w:pPr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>4Q 2008</w:t>
            </w:r>
          </w:p>
        </w:tc>
        <w:tc>
          <w:tcPr>
            <w:tcW w:w="1260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65.5%</w:t>
            </w:r>
          </w:p>
        </w:tc>
        <w:tc>
          <w:tcPr>
            <w:tcW w:w="900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1.80</w:t>
            </w:r>
          </w:p>
        </w:tc>
      </w:tr>
      <w:tr w:rsidR="00DB72C0" w:rsidRPr="00DF3190" w:rsidTr="00D86D39">
        <w:trPr>
          <w:cantSplit/>
          <w:trHeight w:hRule="exact" w:val="252"/>
        </w:trPr>
        <w:tc>
          <w:tcPr>
            <w:tcW w:w="1237" w:type="dxa"/>
          </w:tcPr>
          <w:p w:rsidR="00DB72C0" w:rsidRPr="00DF3190" w:rsidRDefault="00DB72C0" w:rsidP="00522F84">
            <w:pPr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>1Q 2009</w:t>
            </w:r>
          </w:p>
        </w:tc>
        <w:tc>
          <w:tcPr>
            <w:tcW w:w="1260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65.5%</w:t>
            </w:r>
          </w:p>
        </w:tc>
        <w:tc>
          <w:tcPr>
            <w:tcW w:w="900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1.81</w:t>
            </w:r>
          </w:p>
        </w:tc>
      </w:tr>
      <w:tr w:rsidR="00DB72C0" w:rsidRPr="00DF3190" w:rsidTr="00D86D39">
        <w:trPr>
          <w:cantSplit/>
          <w:trHeight w:hRule="exact" w:val="252"/>
        </w:trPr>
        <w:tc>
          <w:tcPr>
            <w:tcW w:w="1237" w:type="dxa"/>
          </w:tcPr>
          <w:p w:rsidR="00DB72C0" w:rsidRPr="00DF3190" w:rsidRDefault="00DB72C0" w:rsidP="00522F84">
            <w:pPr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>2Q 2009</w:t>
            </w:r>
          </w:p>
        </w:tc>
        <w:tc>
          <w:tcPr>
            <w:tcW w:w="1260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65.5%</w:t>
            </w:r>
          </w:p>
        </w:tc>
        <w:tc>
          <w:tcPr>
            <w:tcW w:w="900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1.76</w:t>
            </w:r>
          </w:p>
        </w:tc>
      </w:tr>
      <w:tr w:rsidR="00DB72C0" w:rsidRPr="00DF3190" w:rsidTr="00D86D39">
        <w:trPr>
          <w:cantSplit/>
          <w:trHeight w:hRule="exact" w:val="252"/>
        </w:trPr>
        <w:tc>
          <w:tcPr>
            <w:tcW w:w="1237" w:type="dxa"/>
          </w:tcPr>
          <w:p w:rsidR="00DB72C0" w:rsidRPr="00DF3190" w:rsidRDefault="00DB72C0" w:rsidP="00522F84">
            <w:pPr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>3Q 2009</w:t>
            </w:r>
          </w:p>
        </w:tc>
        <w:tc>
          <w:tcPr>
            <w:tcW w:w="1260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70.2%</w:t>
            </w:r>
          </w:p>
        </w:tc>
        <w:tc>
          <w:tcPr>
            <w:tcW w:w="900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1.74</w:t>
            </w:r>
          </w:p>
        </w:tc>
      </w:tr>
      <w:tr w:rsidR="00DB72C0" w:rsidRPr="00DF3190" w:rsidTr="00D86D39">
        <w:trPr>
          <w:cantSplit/>
          <w:trHeight w:hRule="exact" w:val="252"/>
        </w:trPr>
        <w:tc>
          <w:tcPr>
            <w:tcW w:w="1237" w:type="dxa"/>
          </w:tcPr>
          <w:p w:rsidR="00DB72C0" w:rsidRPr="00DF3190" w:rsidRDefault="00DB72C0" w:rsidP="00522F84">
            <w:pPr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>4Q 2009</w:t>
            </w:r>
          </w:p>
        </w:tc>
        <w:tc>
          <w:tcPr>
            <w:tcW w:w="1260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75.2%</w:t>
            </w:r>
          </w:p>
        </w:tc>
        <w:tc>
          <w:tcPr>
            <w:tcW w:w="900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1.70</w:t>
            </w:r>
          </w:p>
        </w:tc>
      </w:tr>
    </w:tbl>
    <w:p w:rsidR="00DB72C0" w:rsidRPr="00DF3190" w:rsidRDefault="00DB72C0" w:rsidP="00DB72C0">
      <w:pPr>
        <w:rPr>
          <w:rFonts w:asciiTheme="majorHAnsi" w:hAnsiTheme="majorHAnsi"/>
          <w:szCs w:val="20"/>
        </w:rPr>
      </w:pPr>
    </w:p>
    <w:p w:rsidR="00DB72C0" w:rsidRPr="00D86D39" w:rsidRDefault="00DB72C0" w:rsidP="00D86D39">
      <w:pPr>
        <w:pStyle w:val="Heading3"/>
        <w:keepLines w:val="0"/>
        <w:numPr>
          <w:ilvl w:val="0"/>
          <w:numId w:val="17"/>
        </w:numPr>
        <w:spacing w:after="0"/>
        <w:rPr>
          <w:color w:val="auto"/>
          <w:sz w:val="20"/>
          <w:szCs w:val="20"/>
          <w:u w:val="single"/>
        </w:rPr>
      </w:pPr>
      <w:r w:rsidRPr="00D86D39">
        <w:rPr>
          <w:color w:val="auto"/>
          <w:sz w:val="20"/>
          <w:szCs w:val="20"/>
          <w:u w:val="single"/>
        </w:rPr>
        <w:lastRenderedPageBreak/>
        <w:t>Covenant Tests</w:t>
      </w:r>
    </w:p>
    <w:p w:rsidR="00DB72C0" w:rsidRPr="00DF3190" w:rsidRDefault="00DB72C0" w:rsidP="00DB72C0">
      <w:pPr>
        <w:ind w:left="36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 xml:space="preserve">Sponsor Analysis: </w:t>
      </w:r>
      <w:r w:rsidRPr="005F2ABA">
        <w:rPr>
          <w:rFonts w:asciiTheme="majorHAnsi" w:hAnsiTheme="majorHAnsi"/>
          <w:color w:val="238196" w:themeColor="accent2"/>
          <w:szCs w:val="20"/>
        </w:rPr>
        <w:t>(Complete table with covenant test per loan documents.  If no covenant tests exist, type “None” in the first column.)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998"/>
        <w:gridCol w:w="2070"/>
        <w:gridCol w:w="1980"/>
      </w:tblGrid>
      <w:tr w:rsidR="00DB72C0" w:rsidRPr="00DF3190" w:rsidTr="00B53B6F">
        <w:trPr>
          <w:cantSplit/>
          <w:trHeight w:val="512"/>
        </w:trPr>
        <w:tc>
          <w:tcPr>
            <w:tcW w:w="3042" w:type="dxa"/>
            <w:tcBorders>
              <w:bottom w:val="double" w:sz="4" w:space="0" w:color="auto"/>
              <w:right w:val="nil"/>
            </w:tcBorders>
          </w:tcPr>
          <w:p w:rsidR="00DB72C0" w:rsidRPr="00B53B6F" w:rsidRDefault="00DB72C0" w:rsidP="00522F84">
            <w:pPr>
              <w:pStyle w:val="Heading1"/>
              <w:rPr>
                <w:sz w:val="20"/>
                <w:szCs w:val="20"/>
              </w:rPr>
            </w:pPr>
            <w:r w:rsidRPr="00B53B6F">
              <w:rPr>
                <w:color w:val="auto"/>
                <w:sz w:val="20"/>
                <w:szCs w:val="20"/>
              </w:rPr>
              <w:t>Covenant Test Description</w:t>
            </w:r>
          </w:p>
        </w:tc>
        <w:tc>
          <w:tcPr>
            <w:tcW w:w="1998" w:type="dxa"/>
            <w:tcBorders>
              <w:left w:val="nil"/>
              <w:bottom w:val="double" w:sz="4" w:space="0" w:color="auto"/>
              <w:right w:val="nil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>Requirement Per Contract</w:t>
            </w:r>
          </w:p>
        </w:tc>
        <w:tc>
          <w:tcPr>
            <w:tcW w:w="2070" w:type="dxa"/>
            <w:tcBorders>
              <w:left w:val="nil"/>
              <w:bottom w:val="double" w:sz="4" w:space="0" w:color="auto"/>
              <w:right w:val="nil"/>
            </w:tcBorders>
          </w:tcPr>
          <w:p w:rsidR="00DB72C0" w:rsidRPr="00DF3190" w:rsidRDefault="00DB72C0" w:rsidP="00522F84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proofErr w:type="gramStart"/>
            <w:r w:rsidRPr="00DF3190">
              <w:rPr>
                <w:rFonts w:asciiTheme="majorHAnsi" w:hAnsiTheme="majorHAnsi"/>
                <w:b/>
                <w:szCs w:val="20"/>
              </w:rPr>
              <w:t>Current  Reporting</w:t>
            </w:r>
            <w:proofErr w:type="gramEnd"/>
            <w:r w:rsidRPr="00DF3190">
              <w:rPr>
                <w:rFonts w:asciiTheme="majorHAnsi" w:hAnsiTheme="majorHAnsi"/>
                <w:b/>
                <w:szCs w:val="20"/>
              </w:rPr>
              <w:t xml:space="preserve"> Period</w:t>
            </w:r>
          </w:p>
        </w:tc>
        <w:tc>
          <w:tcPr>
            <w:tcW w:w="1980" w:type="dxa"/>
            <w:tcBorders>
              <w:left w:val="nil"/>
              <w:bottom w:val="double" w:sz="4" w:space="0" w:color="auto"/>
            </w:tcBorders>
          </w:tcPr>
          <w:p w:rsidR="00DB72C0" w:rsidRPr="00DF3190" w:rsidRDefault="00DB72C0" w:rsidP="00522F84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>Prior Reporting Period</w:t>
            </w:r>
          </w:p>
        </w:tc>
      </w:tr>
      <w:tr w:rsidR="00DB72C0" w:rsidRPr="00DF3190" w:rsidTr="00522F84">
        <w:trPr>
          <w:cantSplit/>
        </w:trPr>
        <w:tc>
          <w:tcPr>
            <w:tcW w:w="3042" w:type="dxa"/>
            <w:tcBorders>
              <w:top w:val="nil"/>
            </w:tcBorders>
          </w:tcPr>
          <w:p w:rsidR="00DB72C0" w:rsidRPr="005F2ABA" w:rsidRDefault="00DB72C0" w:rsidP="00522F84">
            <w:pPr>
              <w:pStyle w:val="Header"/>
              <w:rPr>
                <w:rFonts w:asciiTheme="majorHAnsi" w:hAnsiTheme="majorHAnsi"/>
                <w:color w:val="238196" w:themeColor="accent2"/>
                <w:sz w:val="20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 w:val="20"/>
                <w:szCs w:val="20"/>
              </w:rPr>
              <w:t>Total debt to total assets</w:t>
            </w:r>
          </w:p>
        </w:tc>
        <w:tc>
          <w:tcPr>
            <w:tcW w:w="1998" w:type="dxa"/>
            <w:tcBorders>
              <w:top w:val="nil"/>
            </w:tcBorders>
          </w:tcPr>
          <w:p w:rsidR="00DB72C0" w:rsidRPr="005F2ABA" w:rsidRDefault="00DB72C0" w:rsidP="00522F84">
            <w:pPr>
              <w:jc w:val="center"/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&lt; 50%</w:t>
            </w:r>
          </w:p>
        </w:tc>
        <w:tc>
          <w:tcPr>
            <w:tcW w:w="2070" w:type="dxa"/>
            <w:tcBorders>
              <w:top w:val="nil"/>
            </w:tcBorders>
          </w:tcPr>
          <w:p w:rsidR="00DB72C0" w:rsidRPr="005F2ABA" w:rsidRDefault="00DB72C0" w:rsidP="00522F84">
            <w:pPr>
              <w:jc w:val="center"/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45%</w:t>
            </w:r>
          </w:p>
        </w:tc>
        <w:tc>
          <w:tcPr>
            <w:tcW w:w="1980" w:type="dxa"/>
            <w:tcBorders>
              <w:top w:val="nil"/>
            </w:tcBorders>
          </w:tcPr>
          <w:p w:rsidR="00DB72C0" w:rsidRPr="005F2ABA" w:rsidRDefault="00DB72C0" w:rsidP="00522F84">
            <w:pPr>
              <w:jc w:val="center"/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47%</w:t>
            </w:r>
          </w:p>
        </w:tc>
      </w:tr>
      <w:tr w:rsidR="00DB72C0" w:rsidRPr="00DF3190" w:rsidTr="00522F84">
        <w:trPr>
          <w:cantSplit/>
        </w:trPr>
        <w:tc>
          <w:tcPr>
            <w:tcW w:w="3042" w:type="dxa"/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NOI of non-multifamily assets vs. value of all real estate assets</w:t>
            </w:r>
          </w:p>
        </w:tc>
        <w:tc>
          <w:tcPr>
            <w:tcW w:w="1998" w:type="dxa"/>
          </w:tcPr>
          <w:p w:rsidR="00DB72C0" w:rsidRPr="005F2ABA" w:rsidRDefault="00DB72C0" w:rsidP="00522F84">
            <w:pPr>
              <w:jc w:val="center"/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&lt; 25%</w:t>
            </w:r>
          </w:p>
        </w:tc>
        <w:tc>
          <w:tcPr>
            <w:tcW w:w="2070" w:type="dxa"/>
          </w:tcPr>
          <w:p w:rsidR="00DB72C0" w:rsidRPr="005F2ABA" w:rsidRDefault="00DB72C0" w:rsidP="00522F84">
            <w:pPr>
              <w:jc w:val="center"/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15%</w:t>
            </w:r>
          </w:p>
        </w:tc>
        <w:tc>
          <w:tcPr>
            <w:tcW w:w="1980" w:type="dxa"/>
          </w:tcPr>
          <w:p w:rsidR="00DB72C0" w:rsidRPr="005F2ABA" w:rsidRDefault="00DB72C0" w:rsidP="00522F84">
            <w:pPr>
              <w:jc w:val="center"/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15%</w:t>
            </w:r>
          </w:p>
        </w:tc>
      </w:tr>
    </w:tbl>
    <w:p w:rsidR="00DB72C0" w:rsidRPr="005F2ABA" w:rsidRDefault="00DB72C0" w:rsidP="005F2ABA">
      <w:pPr>
        <w:pStyle w:val="BodyText"/>
      </w:pPr>
      <w:r w:rsidRPr="005F2ABA">
        <w:t xml:space="preserve">         *These are included only as examples.  Actual tests are described in each contract.</w:t>
      </w:r>
    </w:p>
    <w:p w:rsidR="00B53B6F" w:rsidRPr="00B53B6F" w:rsidRDefault="00B53B6F" w:rsidP="00B53B6F">
      <w:pPr>
        <w:spacing w:after="0"/>
        <w:rPr>
          <w:rFonts w:asciiTheme="majorHAnsi" w:hAnsiTheme="majorHAnsi"/>
          <w:szCs w:val="20"/>
        </w:rPr>
      </w:pPr>
    </w:p>
    <w:p w:rsidR="00DB72C0" w:rsidRPr="00DF3190" w:rsidRDefault="00DB72C0" w:rsidP="00DB72C0">
      <w:pPr>
        <w:numPr>
          <w:ilvl w:val="0"/>
          <w:numId w:val="15"/>
        </w:numPr>
        <w:spacing w:after="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Identify any non-compliance issues or special notifications, and include an assessment and/or recommendation, as appropriate, made by the servicer.</w:t>
      </w:r>
    </w:p>
    <w:p w:rsidR="00DB72C0" w:rsidRPr="00DF3190" w:rsidRDefault="00DB72C0" w:rsidP="00DB72C0">
      <w:pPr>
        <w:numPr>
          <w:ilvl w:val="0"/>
          <w:numId w:val="15"/>
        </w:numPr>
        <w:spacing w:after="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Include discussion of any major change that impacted or could impact covenant tests.</w:t>
      </w:r>
    </w:p>
    <w:p w:rsidR="00DB72C0" w:rsidRPr="00DF3190" w:rsidRDefault="00DB72C0" w:rsidP="00B53B6F">
      <w:pPr>
        <w:spacing w:after="0"/>
        <w:rPr>
          <w:rFonts w:asciiTheme="majorHAnsi" w:hAnsiTheme="majorHAnsi"/>
          <w:szCs w:val="20"/>
        </w:rPr>
      </w:pPr>
    </w:p>
    <w:p w:rsidR="00DB72C0" w:rsidRPr="005F2ABA" w:rsidRDefault="00DB72C0" w:rsidP="005F2ABA">
      <w:pPr>
        <w:pStyle w:val="ListParagraph"/>
        <w:numPr>
          <w:ilvl w:val="0"/>
          <w:numId w:val="17"/>
        </w:numPr>
        <w:rPr>
          <w:color w:val="auto"/>
        </w:rPr>
      </w:pPr>
      <w:r w:rsidRPr="005F2ABA">
        <w:rPr>
          <w:color w:val="auto"/>
        </w:rPr>
        <w:t>Other Covenants (if applicable)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998"/>
        <w:gridCol w:w="2070"/>
        <w:gridCol w:w="1980"/>
      </w:tblGrid>
      <w:tr w:rsidR="00DB72C0" w:rsidRPr="00DF3190" w:rsidTr="00522F84">
        <w:trPr>
          <w:cantSplit/>
        </w:trPr>
        <w:tc>
          <w:tcPr>
            <w:tcW w:w="3042" w:type="dxa"/>
            <w:tcBorders>
              <w:bottom w:val="double" w:sz="4" w:space="0" w:color="auto"/>
              <w:right w:val="nil"/>
            </w:tcBorders>
          </w:tcPr>
          <w:p w:rsidR="00DB72C0" w:rsidRPr="00DF3190" w:rsidRDefault="00DB72C0" w:rsidP="00522F84">
            <w:pPr>
              <w:pStyle w:val="Heading1"/>
              <w:rPr>
                <w:b w:val="0"/>
                <w:sz w:val="20"/>
                <w:szCs w:val="20"/>
              </w:rPr>
            </w:pPr>
            <w:r w:rsidRPr="00B53B6F">
              <w:rPr>
                <w:color w:val="auto"/>
                <w:sz w:val="20"/>
                <w:szCs w:val="20"/>
              </w:rPr>
              <w:t>Covenant Test Description</w:t>
            </w:r>
          </w:p>
        </w:tc>
        <w:tc>
          <w:tcPr>
            <w:tcW w:w="1998" w:type="dxa"/>
            <w:tcBorders>
              <w:left w:val="nil"/>
              <w:bottom w:val="double" w:sz="4" w:space="0" w:color="auto"/>
              <w:right w:val="nil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>Requirement Per Contract</w:t>
            </w:r>
          </w:p>
        </w:tc>
        <w:tc>
          <w:tcPr>
            <w:tcW w:w="2070" w:type="dxa"/>
            <w:tcBorders>
              <w:left w:val="nil"/>
              <w:bottom w:val="double" w:sz="4" w:space="0" w:color="auto"/>
              <w:right w:val="nil"/>
            </w:tcBorders>
          </w:tcPr>
          <w:p w:rsidR="00DB72C0" w:rsidRPr="00DF3190" w:rsidRDefault="00DB72C0" w:rsidP="00522F84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proofErr w:type="gramStart"/>
            <w:r w:rsidRPr="00DF3190">
              <w:rPr>
                <w:rFonts w:asciiTheme="majorHAnsi" w:hAnsiTheme="majorHAnsi"/>
                <w:b/>
                <w:szCs w:val="20"/>
              </w:rPr>
              <w:t>Current  Reporting</w:t>
            </w:r>
            <w:proofErr w:type="gramEnd"/>
            <w:r w:rsidRPr="00DF3190">
              <w:rPr>
                <w:rFonts w:asciiTheme="majorHAnsi" w:hAnsiTheme="majorHAnsi"/>
                <w:b/>
                <w:szCs w:val="20"/>
              </w:rPr>
              <w:t xml:space="preserve"> Period</w:t>
            </w:r>
          </w:p>
        </w:tc>
        <w:tc>
          <w:tcPr>
            <w:tcW w:w="1980" w:type="dxa"/>
            <w:tcBorders>
              <w:left w:val="nil"/>
              <w:bottom w:val="double" w:sz="4" w:space="0" w:color="auto"/>
            </w:tcBorders>
          </w:tcPr>
          <w:p w:rsidR="00DB72C0" w:rsidRPr="00DF3190" w:rsidRDefault="00DB72C0" w:rsidP="00522F84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>Prior Reporting Period</w:t>
            </w:r>
          </w:p>
        </w:tc>
      </w:tr>
      <w:tr w:rsidR="00DB72C0" w:rsidRPr="00DF3190" w:rsidTr="00522F84">
        <w:trPr>
          <w:cantSplit/>
        </w:trPr>
        <w:tc>
          <w:tcPr>
            <w:tcW w:w="3042" w:type="dxa"/>
            <w:tcBorders>
              <w:top w:val="nil"/>
            </w:tcBorders>
          </w:tcPr>
          <w:p w:rsidR="00DB72C0" w:rsidRPr="00DF3190" w:rsidRDefault="00DB72C0" w:rsidP="00522F84">
            <w:pPr>
              <w:pStyle w:val="Header"/>
              <w:rPr>
                <w:rFonts w:asciiTheme="majorHAnsi" w:hAnsiTheme="majorHAnsi"/>
                <w:sz w:val="20"/>
                <w:szCs w:val="20"/>
              </w:rPr>
            </w:pPr>
            <w:r w:rsidRPr="00DF319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nil"/>
            </w:tcBorders>
          </w:tcPr>
          <w:p w:rsidR="00DB72C0" w:rsidRPr="00DF3190" w:rsidRDefault="00DB72C0" w:rsidP="00522F84">
            <w:pPr>
              <w:jc w:val="center"/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</w:tcBorders>
          </w:tcPr>
          <w:p w:rsidR="00DB72C0" w:rsidRPr="00DF3190" w:rsidRDefault="00DB72C0" w:rsidP="00522F84">
            <w:pPr>
              <w:jc w:val="center"/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</w:tcBorders>
          </w:tcPr>
          <w:p w:rsidR="00DB72C0" w:rsidRPr="00DF3190" w:rsidRDefault="00DB72C0" w:rsidP="00522F84">
            <w:pPr>
              <w:jc w:val="center"/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 xml:space="preserve"> </w:t>
            </w:r>
          </w:p>
        </w:tc>
      </w:tr>
      <w:tr w:rsidR="00DB72C0" w:rsidRPr="00DF3190" w:rsidTr="00522F84">
        <w:trPr>
          <w:cantSplit/>
        </w:trPr>
        <w:tc>
          <w:tcPr>
            <w:tcW w:w="3042" w:type="dxa"/>
          </w:tcPr>
          <w:p w:rsidR="00DB72C0" w:rsidRPr="00DF3190" w:rsidRDefault="00DB72C0" w:rsidP="00522F84">
            <w:pPr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1998" w:type="dxa"/>
          </w:tcPr>
          <w:p w:rsidR="00DB72C0" w:rsidRPr="00DF3190" w:rsidRDefault="00DB72C0" w:rsidP="00522F84">
            <w:pPr>
              <w:jc w:val="center"/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DB72C0" w:rsidRPr="00DF3190" w:rsidRDefault="00DB72C0" w:rsidP="00522F84">
            <w:pPr>
              <w:jc w:val="center"/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DB72C0" w:rsidRPr="00DF3190" w:rsidRDefault="00DB72C0" w:rsidP="00522F84">
            <w:pPr>
              <w:jc w:val="center"/>
              <w:rPr>
                <w:rFonts w:asciiTheme="majorHAnsi" w:hAnsiTheme="majorHAnsi"/>
                <w:szCs w:val="20"/>
              </w:rPr>
            </w:pPr>
            <w:r w:rsidRPr="00DF3190">
              <w:rPr>
                <w:rFonts w:asciiTheme="majorHAnsi" w:hAnsiTheme="majorHAnsi"/>
                <w:szCs w:val="20"/>
              </w:rPr>
              <w:t xml:space="preserve"> </w:t>
            </w:r>
          </w:p>
        </w:tc>
      </w:tr>
    </w:tbl>
    <w:p w:rsidR="00DB72C0" w:rsidRPr="00B53B6F" w:rsidRDefault="00DB72C0" w:rsidP="005F2ABA">
      <w:pPr>
        <w:pStyle w:val="BodyText"/>
      </w:pPr>
      <w:r w:rsidRPr="00B53B6F">
        <w:t xml:space="preserve">         *These are included only as examples.  Actual tests are described in each contract.</w:t>
      </w:r>
    </w:p>
    <w:p w:rsidR="00DB72C0" w:rsidRPr="00DF3190" w:rsidRDefault="00DB72C0" w:rsidP="00B53B6F">
      <w:pPr>
        <w:spacing w:after="0"/>
        <w:rPr>
          <w:rFonts w:asciiTheme="majorHAnsi" w:hAnsiTheme="majorHAnsi"/>
          <w:szCs w:val="20"/>
        </w:rPr>
      </w:pPr>
    </w:p>
    <w:p w:rsidR="00DB72C0" w:rsidRPr="00DF3190" w:rsidRDefault="00DB72C0" w:rsidP="00DB72C0">
      <w:pPr>
        <w:numPr>
          <w:ilvl w:val="0"/>
          <w:numId w:val="16"/>
        </w:numPr>
        <w:spacing w:after="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Identify any non-compliance issues or special notifications, and include an assessment and/or recommendation, as appropriate, made by the servicer.</w:t>
      </w:r>
    </w:p>
    <w:p w:rsidR="00DB72C0" w:rsidRPr="00DF3190" w:rsidRDefault="00DB72C0" w:rsidP="00DB72C0">
      <w:pPr>
        <w:numPr>
          <w:ilvl w:val="0"/>
          <w:numId w:val="16"/>
        </w:numPr>
        <w:spacing w:after="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Include discussion of any major change that impacted or could impact covenant tests.</w:t>
      </w:r>
    </w:p>
    <w:p w:rsidR="00DB72C0" w:rsidRPr="00DF3190" w:rsidRDefault="00DB72C0" w:rsidP="00DB72C0">
      <w:pPr>
        <w:ind w:firstLine="450"/>
        <w:rPr>
          <w:rFonts w:asciiTheme="majorHAnsi" w:hAnsiTheme="majorHAnsi"/>
          <w:szCs w:val="20"/>
        </w:rPr>
      </w:pPr>
    </w:p>
    <w:p w:rsidR="00DB72C0" w:rsidRPr="00DF3190" w:rsidRDefault="00DB72C0" w:rsidP="00DB72C0">
      <w:pPr>
        <w:rPr>
          <w:rFonts w:asciiTheme="majorHAnsi" w:hAnsiTheme="majorHAnsi"/>
          <w:b/>
          <w:szCs w:val="20"/>
        </w:rPr>
      </w:pPr>
      <w:r w:rsidRPr="00DF3190">
        <w:rPr>
          <w:rFonts w:asciiTheme="majorHAnsi" w:hAnsiTheme="majorHAnsi"/>
          <w:i/>
          <w:szCs w:val="20"/>
        </w:rPr>
        <w:t xml:space="preserve">        </w:t>
      </w:r>
      <w:r w:rsidRPr="00DF3190">
        <w:rPr>
          <w:rFonts w:asciiTheme="majorHAnsi" w:hAnsiTheme="majorHAnsi"/>
          <w:b/>
          <w:szCs w:val="20"/>
        </w:rPr>
        <w:t xml:space="preserve">Geographic/Asset location Tests: </w:t>
      </w:r>
      <w:r w:rsidRPr="005F2ABA">
        <w:rPr>
          <w:rFonts w:asciiTheme="majorHAnsi" w:hAnsiTheme="majorHAnsi"/>
          <w:b/>
          <w:color w:val="238196" w:themeColor="accent2"/>
          <w:szCs w:val="20"/>
        </w:rPr>
        <w:t>(completed in table format with examples below)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764"/>
        <w:gridCol w:w="1890"/>
        <w:gridCol w:w="2358"/>
      </w:tblGrid>
      <w:tr w:rsidR="00DB72C0" w:rsidRPr="00DF3190" w:rsidTr="00522F84">
        <w:trPr>
          <w:cantSplit/>
          <w:trHeight w:val="230"/>
        </w:trPr>
        <w:tc>
          <w:tcPr>
            <w:tcW w:w="3006" w:type="dxa"/>
            <w:tcBorders>
              <w:bottom w:val="double" w:sz="4" w:space="0" w:color="auto"/>
            </w:tcBorders>
          </w:tcPr>
          <w:p w:rsidR="00DB72C0" w:rsidRPr="00B53B6F" w:rsidRDefault="00DB72C0" w:rsidP="00522F84">
            <w:pPr>
              <w:pStyle w:val="Heading8"/>
              <w:rPr>
                <w:b/>
                <w:sz w:val="20"/>
                <w:szCs w:val="20"/>
              </w:rPr>
            </w:pPr>
            <w:r w:rsidRPr="00B53B6F">
              <w:rPr>
                <w:b/>
                <w:sz w:val="20"/>
                <w:szCs w:val="20"/>
              </w:rPr>
              <w:t>Test Description</w:t>
            </w:r>
          </w:p>
        </w:tc>
        <w:tc>
          <w:tcPr>
            <w:tcW w:w="1764" w:type="dxa"/>
            <w:tcBorders>
              <w:bottom w:val="double" w:sz="4" w:space="0" w:color="auto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>Requirement Per Document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b/>
                <w:szCs w:val="20"/>
              </w:rPr>
            </w:pPr>
            <w:proofErr w:type="gramStart"/>
            <w:r w:rsidRPr="00DF3190">
              <w:rPr>
                <w:rFonts w:asciiTheme="majorHAnsi" w:hAnsiTheme="majorHAnsi"/>
                <w:b/>
                <w:szCs w:val="20"/>
              </w:rPr>
              <w:t>Current  Reporting</w:t>
            </w:r>
            <w:proofErr w:type="gramEnd"/>
            <w:r w:rsidRPr="00DF3190">
              <w:rPr>
                <w:rFonts w:asciiTheme="majorHAnsi" w:hAnsiTheme="majorHAnsi"/>
                <w:b/>
                <w:szCs w:val="20"/>
              </w:rPr>
              <w:t xml:space="preserve"> Period</w:t>
            </w:r>
          </w:p>
        </w:tc>
        <w:tc>
          <w:tcPr>
            <w:tcW w:w="2358" w:type="dxa"/>
            <w:tcBorders>
              <w:bottom w:val="double" w:sz="4" w:space="0" w:color="auto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b/>
                <w:szCs w:val="20"/>
              </w:rPr>
            </w:pPr>
            <w:r w:rsidRPr="00DF3190">
              <w:rPr>
                <w:rFonts w:asciiTheme="majorHAnsi" w:hAnsiTheme="majorHAnsi"/>
                <w:b/>
                <w:szCs w:val="20"/>
              </w:rPr>
              <w:t>Prior Reporting Period</w:t>
            </w:r>
          </w:p>
        </w:tc>
      </w:tr>
      <w:tr w:rsidR="00DB72C0" w:rsidRPr="00DF3190" w:rsidTr="00522F84">
        <w:trPr>
          <w:cantSplit/>
          <w:trHeight w:val="230"/>
        </w:trPr>
        <w:tc>
          <w:tcPr>
            <w:tcW w:w="3006" w:type="dxa"/>
            <w:tcBorders>
              <w:top w:val="nil"/>
            </w:tcBorders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Asset Concentration</w:t>
            </w:r>
          </w:p>
        </w:tc>
        <w:tc>
          <w:tcPr>
            <w:tcW w:w="1764" w:type="dxa"/>
            <w:tcBorders>
              <w:top w:val="nil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  <w:tc>
          <w:tcPr>
            <w:tcW w:w="2358" w:type="dxa"/>
            <w:tcBorders>
              <w:top w:val="nil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</w:tr>
      <w:tr w:rsidR="00DB72C0" w:rsidRPr="00DF3190" w:rsidTr="00522F84">
        <w:trPr>
          <w:cantSplit/>
          <w:trHeight w:val="230"/>
        </w:trPr>
        <w:tc>
          <w:tcPr>
            <w:tcW w:w="3006" w:type="dxa"/>
            <w:tcBorders>
              <w:bottom w:val="single" w:sz="4" w:space="0" w:color="auto"/>
            </w:tcBorders>
          </w:tcPr>
          <w:p w:rsidR="00DB72C0" w:rsidRPr="005F2ABA" w:rsidRDefault="00DB72C0" w:rsidP="00522F84">
            <w:pPr>
              <w:rPr>
                <w:rFonts w:asciiTheme="majorHAnsi" w:hAnsiTheme="majorHAnsi"/>
                <w:color w:val="238196" w:themeColor="accent2"/>
                <w:szCs w:val="20"/>
              </w:rPr>
            </w:pPr>
            <w:r w:rsidRPr="005F2ABA">
              <w:rPr>
                <w:rFonts w:asciiTheme="majorHAnsi" w:hAnsiTheme="majorHAnsi"/>
                <w:color w:val="238196" w:themeColor="accent2"/>
                <w:szCs w:val="20"/>
              </w:rPr>
              <w:t>Geographical Diversity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DB72C0" w:rsidRPr="00DF3190" w:rsidRDefault="00DB72C0" w:rsidP="00522F84">
            <w:pPr>
              <w:rPr>
                <w:rFonts w:asciiTheme="majorHAnsi" w:hAnsiTheme="majorHAnsi"/>
                <w:color w:val="0000FF"/>
                <w:szCs w:val="20"/>
              </w:rPr>
            </w:pPr>
          </w:p>
        </w:tc>
      </w:tr>
    </w:tbl>
    <w:p w:rsidR="00DB72C0" w:rsidRPr="005F2ABA" w:rsidRDefault="00DB72C0" w:rsidP="00B53B6F">
      <w:pPr>
        <w:tabs>
          <w:tab w:val="num" w:pos="1080"/>
        </w:tabs>
        <w:spacing w:after="0"/>
        <w:rPr>
          <w:rFonts w:asciiTheme="majorHAnsi" w:hAnsiTheme="majorHAnsi"/>
          <w:color w:val="238196" w:themeColor="accent2"/>
          <w:szCs w:val="20"/>
        </w:rPr>
      </w:pPr>
      <w:r w:rsidRPr="00DF3190">
        <w:rPr>
          <w:rFonts w:asciiTheme="majorHAnsi" w:hAnsiTheme="majorHAnsi"/>
          <w:i/>
          <w:szCs w:val="20"/>
        </w:rPr>
        <w:t xml:space="preserve">         </w:t>
      </w:r>
      <w:r w:rsidRPr="005F2ABA">
        <w:rPr>
          <w:rFonts w:asciiTheme="majorHAnsi" w:hAnsiTheme="majorHAnsi"/>
          <w:i/>
          <w:color w:val="238196" w:themeColor="accent2"/>
          <w:szCs w:val="20"/>
        </w:rPr>
        <w:t>*These are included only as examples.  Actual tests are described in each contract</w:t>
      </w:r>
      <w:r w:rsidRPr="005F2ABA">
        <w:rPr>
          <w:rFonts w:asciiTheme="majorHAnsi" w:hAnsiTheme="majorHAnsi"/>
          <w:color w:val="238196" w:themeColor="accent2"/>
          <w:szCs w:val="20"/>
        </w:rPr>
        <w:tab/>
      </w:r>
    </w:p>
    <w:p w:rsidR="00DB72C0" w:rsidRPr="00B53B6F" w:rsidRDefault="00DB72C0" w:rsidP="00B53B6F">
      <w:pPr>
        <w:spacing w:after="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ab/>
      </w:r>
      <w:r w:rsidRPr="00DF3190">
        <w:rPr>
          <w:rFonts w:asciiTheme="majorHAnsi" w:hAnsiTheme="majorHAnsi"/>
          <w:szCs w:val="20"/>
        </w:rPr>
        <w:tab/>
      </w:r>
      <w:r w:rsidRPr="00DF3190">
        <w:rPr>
          <w:rFonts w:asciiTheme="majorHAnsi" w:hAnsiTheme="majorHAnsi"/>
          <w:szCs w:val="20"/>
        </w:rPr>
        <w:tab/>
      </w:r>
      <w:r w:rsidRPr="00DF3190">
        <w:rPr>
          <w:rFonts w:asciiTheme="majorHAnsi" w:hAnsiTheme="majorHAnsi"/>
          <w:szCs w:val="20"/>
        </w:rPr>
        <w:tab/>
      </w:r>
    </w:p>
    <w:p w:rsidR="00DB72C0" w:rsidRPr="00DF3190" w:rsidRDefault="00DB72C0" w:rsidP="00DB72C0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360" w:firstLine="9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b/>
          <w:szCs w:val="20"/>
        </w:rPr>
        <w:t>Brief narrative of activities in collateral pool and within the facility during the current quarter</w:t>
      </w:r>
      <w:r w:rsidRPr="00DF3190">
        <w:rPr>
          <w:rFonts w:asciiTheme="majorHAnsi" w:hAnsiTheme="majorHAnsi"/>
          <w:szCs w:val="20"/>
        </w:rPr>
        <w:t>:</w:t>
      </w:r>
    </w:p>
    <w:p w:rsidR="00DB72C0" w:rsidRPr="00DF3190" w:rsidRDefault="00DB72C0" w:rsidP="00DB72C0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New additions, substitutions, and releases.</w:t>
      </w:r>
    </w:p>
    <w:p w:rsidR="00DB72C0" w:rsidRPr="00DF3190" w:rsidRDefault="00DB72C0" w:rsidP="00DB72C0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 xml:space="preserve">Short comparison analysis between current quarter and prior quarter variances in EGI, NOI and Economic Occupancy, especially any variances greater than 10%. </w:t>
      </w:r>
    </w:p>
    <w:p w:rsidR="00DB72C0" w:rsidRPr="00DF3190" w:rsidRDefault="00DB72C0" w:rsidP="00DB72C0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Due diligence issues relating to additions, substitutions, and releases.</w:t>
      </w:r>
    </w:p>
    <w:p w:rsidR="00DB72C0" w:rsidRPr="00DF3190" w:rsidRDefault="00DB72C0" w:rsidP="00DB72C0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Identify all Watch List Properties and included required information.  Indicate whether the properties are on Lender’s and/or Fannie Mae’s watch list.</w:t>
      </w:r>
    </w:p>
    <w:p w:rsidR="00DB72C0" w:rsidRPr="00DF3190" w:rsidRDefault="00DB72C0" w:rsidP="00DB72C0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Describe any significant changes/trends in DSCR and LTV. Include certification that no other conditions exist that would require recalculation of DSCR or LTV.</w:t>
      </w:r>
    </w:p>
    <w:p w:rsidR="00DB72C0" w:rsidRPr="00DF3190" w:rsidRDefault="00DB72C0" w:rsidP="00DB72C0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Changes in overall value of the collateral pool and overall borrowing capacity.</w:t>
      </w:r>
    </w:p>
    <w:p w:rsidR="00DB72C0" w:rsidRPr="00DF3190" w:rsidRDefault="00DB72C0" w:rsidP="00DB72C0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Discuss Portfolio Inspection results during the past quarter, including any properties rated 3 or below in its most recent inspection plus any properties with life/safety concerns.  Include what follow up with the Borrower has occurred.</w:t>
      </w:r>
    </w:p>
    <w:p w:rsidR="00DB72C0" w:rsidRPr="00DF3190" w:rsidRDefault="00DB72C0" w:rsidP="00DB72C0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Discuss required repair completions.</w:t>
      </w:r>
    </w:p>
    <w:p w:rsidR="00DB72C0" w:rsidRPr="00DF3190" w:rsidRDefault="00DB72C0" w:rsidP="00DB72C0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Discuss hedge requirements, if applicable.</w:t>
      </w:r>
    </w:p>
    <w:p w:rsidR="00DB72C0" w:rsidRPr="00DF3190" w:rsidRDefault="00DB72C0" w:rsidP="00DB72C0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Any non-compliance issues.</w:t>
      </w:r>
    </w:p>
    <w:p w:rsidR="00DB72C0" w:rsidRPr="00DF3190" w:rsidRDefault="00DB72C0" w:rsidP="00DB72C0">
      <w:pPr>
        <w:rPr>
          <w:rFonts w:asciiTheme="majorHAnsi" w:hAnsiTheme="majorHAnsi"/>
          <w:szCs w:val="20"/>
        </w:rPr>
      </w:pPr>
    </w:p>
    <w:p w:rsidR="00DB72C0" w:rsidRPr="00DF3190" w:rsidRDefault="00DB72C0" w:rsidP="00DB72C0">
      <w:pPr>
        <w:tabs>
          <w:tab w:val="num" w:pos="1080"/>
        </w:tabs>
        <w:ind w:left="36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b/>
          <w:szCs w:val="20"/>
          <w:u w:val="single"/>
        </w:rPr>
        <w:t xml:space="preserve">Total Facility Commitment Amounts: </w:t>
      </w:r>
      <w:r w:rsidRPr="00DF3190">
        <w:rPr>
          <w:rFonts w:asciiTheme="majorHAnsi" w:hAnsiTheme="majorHAnsi"/>
          <w:szCs w:val="20"/>
        </w:rPr>
        <w:t xml:space="preserve"> Follow the example below to show total commitment of Credit Facility or Bulk Delivery and as of date.</w:t>
      </w:r>
    </w:p>
    <w:p w:rsidR="00DB72C0" w:rsidRPr="00DF3190" w:rsidRDefault="00DB72C0" w:rsidP="00DB72C0">
      <w:pPr>
        <w:jc w:val="both"/>
        <w:rPr>
          <w:rFonts w:asciiTheme="majorHAnsi" w:hAnsiTheme="majorHAnsi"/>
          <w:szCs w:val="20"/>
        </w:rPr>
      </w:pPr>
    </w:p>
    <w:p w:rsidR="00DB72C0" w:rsidRPr="00DF3190" w:rsidRDefault="00DB72C0" w:rsidP="00DB72C0">
      <w:pPr>
        <w:tabs>
          <w:tab w:val="left" w:pos="4680"/>
          <w:tab w:val="right" w:pos="6120"/>
        </w:tabs>
        <w:ind w:firstLine="540"/>
        <w:jc w:val="both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Fixed Rate Portion</w:t>
      </w:r>
      <w:r w:rsidRPr="00DF3190">
        <w:rPr>
          <w:rFonts w:asciiTheme="majorHAnsi" w:hAnsiTheme="majorHAnsi"/>
          <w:szCs w:val="20"/>
        </w:rPr>
        <w:tab/>
      </w:r>
      <w:r w:rsidRPr="005F2ABA">
        <w:rPr>
          <w:rFonts w:asciiTheme="majorHAnsi" w:hAnsiTheme="majorHAnsi"/>
          <w:color w:val="238196" w:themeColor="accent2"/>
          <w:szCs w:val="20"/>
        </w:rPr>
        <w:t>$</w:t>
      </w:r>
      <w:r w:rsidRPr="005F2ABA">
        <w:rPr>
          <w:rFonts w:asciiTheme="majorHAnsi" w:hAnsiTheme="majorHAnsi"/>
          <w:color w:val="238196" w:themeColor="accent2"/>
          <w:szCs w:val="20"/>
        </w:rPr>
        <w:tab/>
        <w:t>0</w:t>
      </w:r>
    </w:p>
    <w:p w:rsidR="00DB72C0" w:rsidRPr="00DF3190" w:rsidRDefault="00DB72C0" w:rsidP="00DB72C0">
      <w:pPr>
        <w:tabs>
          <w:tab w:val="left" w:pos="4680"/>
          <w:tab w:val="right" w:pos="6120"/>
        </w:tabs>
        <w:ind w:firstLine="540"/>
        <w:jc w:val="both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Variable Rate Portion</w:t>
      </w:r>
      <w:r w:rsidRPr="00DF3190">
        <w:rPr>
          <w:rFonts w:asciiTheme="majorHAnsi" w:hAnsiTheme="majorHAnsi"/>
          <w:szCs w:val="20"/>
        </w:rPr>
        <w:tab/>
      </w:r>
      <w:r w:rsidRPr="005F2ABA">
        <w:rPr>
          <w:rFonts w:asciiTheme="majorHAnsi" w:hAnsiTheme="majorHAnsi"/>
          <w:color w:val="238196" w:themeColor="accent2"/>
          <w:szCs w:val="20"/>
        </w:rPr>
        <w:t>$</w:t>
      </w:r>
      <w:r w:rsidRPr="005F2ABA">
        <w:rPr>
          <w:rFonts w:asciiTheme="majorHAnsi" w:hAnsiTheme="majorHAnsi"/>
          <w:color w:val="238196" w:themeColor="accent2"/>
          <w:szCs w:val="20"/>
        </w:rPr>
        <w:tab/>
        <w:t>755,000,000</w:t>
      </w:r>
    </w:p>
    <w:p w:rsidR="00DB72C0" w:rsidRPr="00DF3190" w:rsidRDefault="00DB72C0" w:rsidP="00DB72C0">
      <w:pPr>
        <w:tabs>
          <w:tab w:val="left" w:pos="4680"/>
          <w:tab w:val="right" w:pos="6120"/>
        </w:tabs>
        <w:ind w:firstLine="540"/>
        <w:jc w:val="both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szCs w:val="20"/>
        </w:rPr>
        <w:t>Unused Collateralized Portion</w:t>
      </w:r>
      <w:r w:rsidRPr="00DF3190">
        <w:rPr>
          <w:rFonts w:asciiTheme="majorHAnsi" w:hAnsiTheme="majorHAnsi"/>
          <w:szCs w:val="20"/>
        </w:rPr>
        <w:tab/>
      </w:r>
      <w:r w:rsidRPr="005F2ABA">
        <w:rPr>
          <w:rFonts w:asciiTheme="majorHAnsi" w:hAnsiTheme="majorHAnsi"/>
          <w:color w:val="238196" w:themeColor="accent2"/>
          <w:szCs w:val="20"/>
        </w:rPr>
        <w:t>$</w:t>
      </w:r>
      <w:r w:rsidRPr="005F2ABA">
        <w:rPr>
          <w:rFonts w:asciiTheme="majorHAnsi" w:hAnsiTheme="majorHAnsi"/>
          <w:color w:val="238196" w:themeColor="accent2"/>
          <w:szCs w:val="20"/>
        </w:rPr>
        <w:tab/>
        <w:t>100,000,000</w:t>
      </w:r>
    </w:p>
    <w:p w:rsidR="00DB72C0" w:rsidRPr="00DF3190" w:rsidRDefault="00DB72C0" w:rsidP="00DB72C0">
      <w:pPr>
        <w:tabs>
          <w:tab w:val="left" w:pos="4680"/>
          <w:tab w:val="right" w:pos="6120"/>
        </w:tabs>
        <w:ind w:firstLine="540"/>
        <w:jc w:val="both"/>
        <w:rPr>
          <w:rFonts w:asciiTheme="majorHAnsi" w:hAnsiTheme="majorHAnsi"/>
          <w:szCs w:val="20"/>
          <w:u w:val="single"/>
        </w:rPr>
      </w:pPr>
      <w:r w:rsidRPr="00DF3190">
        <w:rPr>
          <w:rFonts w:asciiTheme="majorHAnsi" w:hAnsiTheme="majorHAnsi"/>
          <w:szCs w:val="20"/>
          <w:u w:val="single"/>
        </w:rPr>
        <w:t>Unused Uncollateralized Portion</w:t>
      </w:r>
      <w:r w:rsidRPr="00DF3190">
        <w:rPr>
          <w:rFonts w:asciiTheme="majorHAnsi" w:hAnsiTheme="majorHAnsi"/>
          <w:szCs w:val="20"/>
          <w:u w:val="single"/>
        </w:rPr>
        <w:tab/>
      </w:r>
      <w:r w:rsidRPr="005F2ABA">
        <w:rPr>
          <w:rFonts w:asciiTheme="majorHAnsi" w:hAnsiTheme="majorHAnsi"/>
          <w:color w:val="238196" w:themeColor="accent2"/>
          <w:szCs w:val="20"/>
          <w:u w:val="single"/>
        </w:rPr>
        <w:t>$</w:t>
      </w:r>
      <w:r w:rsidRPr="005F2ABA">
        <w:rPr>
          <w:rFonts w:asciiTheme="majorHAnsi" w:hAnsiTheme="majorHAnsi"/>
          <w:color w:val="238196" w:themeColor="accent2"/>
          <w:szCs w:val="20"/>
          <w:u w:val="single"/>
        </w:rPr>
        <w:tab/>
        <w:t>0</w:t>
      </w:r>
    </w:p>
    <w:p w:rsidR="00DB72C0" w:rsidRPr="00DF3190" w:rsidRDefault="00DB72C0" w:rsidP="00DB72C0">
      <w:pPr>
        <w:ind w:firstLine="540"/>
        <w:jc w:val="both"/>
        <w:rPr>
          <w:rFonts w:asciiTheme="majorHAnsi" w:hAnsiTheme="majorHAnsi"/>
          <w:szCs w:val="20"/>
        </w:rPr>
      </w:pPr>
    </w:p>
    <w:p w:rsidR="00DB72C0" w:rsidRPr="00DF3190" w:rsidRDefault="00DB72C0" w:rsidP="00DB72C0">
      <w:pPr>
        <w:tabs>
          <w:tab w:val="left" w:pos="4680"/>
          <w:tab w:val="right" w:pos="6120"/>
        </w:tabs>
        <w:ind w:firstLine="540"/>
        <w:jc w:val="both"/>
        <w:rPr>
          <w:rFonts w:asciiTheme="majorHAnsi" w:hAnsiTheme="majorHAnsi"/>
          <w:b/>
          <w:szCs w:val="20"/>
        </w:rPr>
      </w:pPr>
      <w:r w:rsidRPr="00DF3190">
        <w:rPr>
          <w:rFonts w:asciiTheme="majorHAnsi" w:hAnsiTheme="majorHAnsi"/>
          <w:b/>
          <w:szCs w:val="20"/>
        </w:rPr>
        <w:t>Max. Facility Commitment (as of XQXX)</w:t>
      </w:r>
      <w:r w:rsidRPr="00DF3190">
        <w:rPr>
          <w:rFonts w:asciiTheme="majorHAnsi" w:hAnsiTheme="majorHAnsi"/>
          <w:b/>
          <w:szCs w:val="20"/>
        </w:rPr>
        <w:tab/>
      </w:r>
      <w:r w:rsidRPr="005F2ABA">
        <w:rPr>
          <w:rFonts w:asciiTheme="majorHAnsi" w:hAnsiTheme="majorHAnsi"/>
          <w:b/>
          <w:color w:val="238196" w:themeColor="accent2"/>
          <w:szCs w:val="20"/>
        </w:rPr>
        <w:t>$</w:t>
      </w:r>
      <w:r w:rsidRPr="005F2ABA">
        <w:rPr>
          <w:rFonts w:asciiTheme="majorHAnsi" w:hAnsiTheme="majorHAnsi"/>
          <w:b/>
          <w:color w:val="238196" w:themeColor="accent2"/>
          <w:szCs w:val="20"/>
        </w:rPr>
        <w:tab/>
        <w:t>855,000,000</w:t>
      </w:r>
    </w:p>
    <w:p w:rsidR="00DB72C0" w:rsidRPr="00DF3190" w:rsidRDefault="00DB72C0" w:rsidP="00DB72C0">
      <w:pPr>
        <w:tabs>
          <w:tab w:val="num" w:pos="1080"/>
        </w:tabs>
        <w:rPr>
          <w:rFonts w:asciiTheme="majorHAnsi" w:hAnsiTheme="majorHAnsi"/>
          <w:szCs w:val="20"/>
        </w:rPr>
      </w:pPr>
    </w:p>
    <w:p w:rsidR="00DB72C0" w:rsidRPr="005F2ABA" w:rsidRDefault="00DB72C0" w:rsidP="005F2ABA">
      <w:pPr>
        <w:pStyle w:val="ListParagraph"/>
        <w:numPr>
          <w:ilvl w:val="0"/>
          <w:numId w:val="17"/>
        </w:numPr>
        <w:rPr>
          <w:color w:val="auto"/>
        </w:rPr>
      </w:pPr>
      <w:r w:rsidRPr="005F2ABA">
        <w:rPr>
          <w:color w:val="auto"/>
        </w:rPr>
        <w:t>Other:  Narrative on any other reportable event not included above</w:t>
      </w:r>
    </w:p>
    <w:p w:rsidR="004C6F8E" w:rsidRPr="00DF3190" w:rsidRDefault="00DB72C0" w:rsidP="006A622C">
      <w:pPr>
        <w:ind w:firstLine="360"/>
        <w:rPr>
          <w:rFonts w:asciiTheme="majorHAnsi" w:hAnsiTheme="majorHAnsi"/>
          <w:szCs w:val="20"/>
        </w:rPr>
      </w:pPr>
      <w:r w:rsidRPr="00DF3190">
        <w:rPr>
          <w:rFonts w:asciiTheme="majorHAnsi" w:hAnsiTheme="majorHAnsi"/>
          <w:b/>
          <w:szCs w:val="20"/>
        </w:rPr>
        <w:t xml:space="preserve"> (NEEDS TO BE DETAILE</w:t>
      </w:r>
      <w:bookmarkStart w:id="0" w:name="_GoBack"/>
      <w:bookmarkEnd w:id="0"/>
      <w:r w:rsidRPr="00DF3190">
        <w:rPr>
          <w:rFonts w:asciiTheme="majorHAnsi" w:hAnsiTheme="majorHAnsi"/>
          <w:b/>
          <w:szCs w:val="20"/>
        </w:rPr>
        <w:t>D)</w:t>
      </w:r>
    </w:p>
    <w:sectPr w:rsidR="004C6F8E" w:rsidRPr="00DF3190" w:rsidSect="00DF319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4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20C" w:rsidRDefault="00DD120C" w:rsidP="00790E8C">
      <w:r>
        <w:separator/>
      </w:r>
    </w:p>
  </w:endnote>
  <w:endnote w:type="continuationSeparator" w:id="0">
    <w:p w:rsidR="00DD120C" w:rsidRDefault="00DD120C" w:rsidP="007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8C" w:rsidRPr="008E6807" w:rsidRDefault="002147B2" w:rsidP="002147B2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3D03D1">
      <w:rPr>
        <w:noProof/>
        <w:color w:val="auto"/>
      </w:rPr>
      <w:t>2019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 w:rsidR="006A622C">
      <w:rPr>
        <w:b/>
        <w:color w:val="auto"/>
      </w:rPr>
      <w:t>4801</w:t>
    </w:r>
    <w:r w:rsidR="007F446C" w:rsidRPr="008E6807">
      <w:rPr>
        <w:b/>
        <w:color w:val="auto"/>
      </w:rPr>
      <w:t xml:space="preserve"> – </w:t>
    </w:r>
    <w:r w:rsidR="006A622C">
      <w:rPr>
        <w:b/>
        <w:color w:val="auto"/>
      </w:rPr>
      <w:t>September 2019</w:t>
    </w:r>
    <w:r w:rsidRPr="008E6807">
      <w:rPr>
        <w:color w:val="auto"/>
      </w:rPr>
      <w:ptab w:relativeTo="margin" w:alignment="right" w:leader="none"/>
    </w:r>
    <w:r w:rsidRPr="008E6807">
      <w:rPr>
        <w:color w:val="auto"/>
      </w:rPr>
      <w:t xml:space="preserve"> Page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PAGE   \* MERGEFORMAT </w:instrText>
    </w:r>
    <w:r w:rsidRPr="008E6807">
      <w:rPr>
        <w:color w:val="auto"/>
      </w:rPr>
      <w:fldChar w:fldCharType="separate"/>
    </w:r>
    <w:r w:rsidRPr="008E6807">
      <w:rPr>
        <w:color w:val="auto"/>
      </w:rPr>
      <w:t>1</w:t>
    </w:r>
    <w:r w:rsidRPr="008E6807">
      <w:rPr>
        <w:noProof/>
        <w:color w:val="auto"/>
      </w:rPr>
      <w:fldChar w:fldCharType="end"/>
    </w:r>
    <w:r w:rsidRPr="008E6807">
      <w:rPr>
        <w:noProof/>
        <w:color w:val="auto"/>
      </w:rPr>
      <w:t xml:space="preserve"> of </w:t>
    </w:r>
    <w:r w:rsidRPr="008E6807">
      <w:rPr>
        <w:noProof/>
        <w:color w:val="auto"/>
      </w:rPr>
      <w:fldChar w:fldCharType="begin"/>
    </w:r>
    <w:r w:rsidRPr="008E6807">
      <w:rPr>
        <w:noProof/>
        <w:color w:val="auto"/>
      </w:rPr>
      <w:instrText xml:space="preserve"> NUMPAGES  \* Arabic  \* MERGEFORMAT </w:instrText>
    </w:r>
    <w:r w:rsidRPr="008E6807">
      <w:rPr>
        <w:noProof/>
        <w:color w:val="auto"/>
      </w:rPr>
      <w:fldChar w:fldCharType="separate"/>
    </w:r>
    <w:r w:rsidRPr="008E6807">
      <w:rPr>
        <w:noProof/>
        <w:color w:val="auto"/>
      </w:rPr>
      <w:t>6</w:t>
    </w:r>
    <w:r w:rsidRPr="008E6807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E18" w:rsidRPr="008E6807" w:rsidRDefault="00BF1CB5" w:rsidP="00BF1CB5">
    <w:pPr>
      <w:pStyle w:val="Footer"/>
      <w:pBdr>
        <w:top w:val="single" w:sz="4" w:space="1" w:color="888888" w:themeColor="text1" w:themeTint="80"/>
      </w:pBdr>
      <w:tabs>
        <w:tab w:val="clear" w:pos="10800"/>
        <w:tab w:val="left" w:pos="9720"/>
        <w:tab w:val="left" w:pos="10440"/>
      </w:tabs>
      <w:spacing w:after="0"/>
      <w:rPr>
        <w:noProof/>
        <w:color w:val="auto"/>
      </w:rPr>
    </w:pPr>
    <w:r w:rsidRPr="008E6807">
      <w:rPr>
        <w:rFonts w:cstheme="minorHAnsi"/>
        <w:color w:val="auto"/>
      </w:rPr>
      <w:t>©</w:t>
    </w:r>
    <w:r w:rsidRPr="008E6807">
      <w:rPr>
        <w:color w:val="auto"/>
      </w:rPr>
      <w:t xml:space="preserve">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DATE  \@ "yyyy"  \* MERGEFORMAT </w:instrText>
    </w:r>
    <w:r w:rsidRPr="008E6807">
      <w:rPr>
        <w:color w:val="auto"/>
      </w:rPr>
      <w:fldChar w:fldCharType="separate"/>
    </w:r>
    <w:r w:rsidR="003D03D1">
      <w:rPr>
        <w:noProof/>
        <w:color w:val="auto"/>
      </w:rPr>
      <w:t>2019</w:t>
    </w:r>
    <w:r w:rsidRPr="008E6807">
      <w:rPr>
        <w:color w:val="auto"/>
      </w:rPr>
      <w:fldChar w:fldCharType="end"/>
    </w:r>
    <w:r w:rsidRPr="008E6807">
      <w:rPr>
        <w:color w:val="auto"/>
      </w:rPr>
      <w:t xml:space="preserve"> Fannie Mae. Trademarks of Fannie Mae.</w:t>
    </w:r>
    <w:r w:rsidRPr="008E6807">
      <w:rPr>
        <w:color w:val="auto"/>
      </w:rPr>
      <w:ptab w:relativeTo="margin" w:alignment="center" w:leader="none"/>
    </w:r>
    <w:r w:rsidRPr="008E6807">
      <w:rPr>
        <w:b/>
        <w:color w:val="auto"/>
      </w:rPr>
      <w:t xml:space="preserve">Form </w:t>
    </w:r>
    <w:r w:rsidR="006A622C">
      <w:rPr>
        <w:b/>
        <w:color w:val="auto"/>
      </w:rPr>
      <w:t>4801</w:t>
    </w:r>
    <w:r w:rsidR="007F446C" w:rsidRPr="008E6807">
      <w:rPr>
        <w:b/>
        <w:color w:val="auto"/>
      </w:rPr>
      <w:t xml:space="preserve"> – </w:t>
    </w:r>
    <w:r w:rsidR="006A622C">
      <w:rPr>
        <w:b/>
        <w:color w:val="auto"/>
      </w:rPr>
      <w:t>September</w:t>
    </w:r>
    <w:r w:rsidR="007F446C" w:rsidRPr="008E6807">
      <w:rPr>
        <w:b/>
        <w:color w:val="auto"/>
      </w:rPr>
      <w:t xml:space="preserve"> </w:t>
    </w:r>
    <w:r w:rsidR="006A622C">
      <w:rPr>
        <w:b/>
        <w:color w:val="auto"/>
      </w:rPr>
      <w:t>2019</w:t>
    </w:r>
    <w:r w:rsidRPr="008E6807">
      <w:rPr>
        <w:color w:val="auto"/>
      </w:rPr>
      <w:ptab w:relativeTo="margin" w:alignment="right" w:leader="none"/>
    </w:r>
    <w:r w:rsidRPr="008E6807">
      <w:rPr>
        <w:color w:val="auto"/>
      </w:rPr>
      <w:t xml:space="preserve">    Page </w:t>
    </w:r>
    <w:r w:rsidRPr="008E6807">
      <w:rPr>
        <w:color w:val="auto"/>
      </w:rPr>
      <w:fldChar w:fldCharType="begin"/>
    </w:r>
    <w:r w:rsidRPr="008E6807">
      <w:rPr>
        <w:color w:val="auto"/>
      </w:rPr>
      <w:instrText xml:space="preserve"> PAGE   \* MERGEFORMAT </w:instrText>
    </w:r>
    <w:r w:rsidRPr="008E6807">
      <w:rPr>
        <w:color w:val="auto"/>
      </w:rPr>
      <w:fldChar w:fldCharType="separate"/>
    </w:r>
    <w:r w:rsidRPr="008E6807">
      <w:rPr>
        <w:color w:val="auto"/>
      </w:rPr>
      <w:t>1</w:t>
    </w:r>
    <w:r w:rsidRPr="008E6807">
      <w:rPr>
        <w:noProof/>
        <w:color w:val="auto"/>
      </w:rPr>
      <w:fldChar w:fldCharType="end"/>
    </w:r>
    <w:r w:rsidRPr="008E6807">
      <w:rPr>
        <w:noProof/>
        <w:color w:val="auto"/>
      </w:rPr>
      <w:t xml:space="preserve"> of </w:t>
    </w:r>
    <w:r w:rsidRPr="008E6807">
      <w:rPr>
        <w:noProof/>
        <w:color w:val="auto"/>
      </w:rPr>
      <w:fldChar w:fldCharType="begin"/>
    </w:r>
    <w:r w:rsidRPr="008E6807">
      <w:rPr>
        <w:noProof/>
        <w:color w:val="auto"/>
      </w:rPr>
      <w:instrText xml:space="preserve"> NUMPAGES  \* Arabic  \* MERGEFORMAT </w:instrText>
    </w:r>
    <w:r w:rsidRPr="008E6807">
      <w:rPr>
        <w:noProof/>
        <w:color w:val="auto"/>
      </w:rPr>
      <w:fldChar w:fldCharType="separate"/>
    </w:r>
    <w:r w:rsidRPr="008E6807">
      <w:rPr>
        <w:noProof/>
        <w:color w:val="auto"/>
      </w:rPr>
      <w:t>6</w:t>
    </w:r>
    <w:r w:rsidRPr="008E6807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20C" w:rsidRDefault="00DD120C" w:rsidP="00790E8C">
      <w:r>
        <w:separator/>
      </w:r>
    </w:p>
  </w:footnote>
  <w:footnote w:type="continuationSeparator" w:id="0">
    <w:p w:rsidR="00DD120C" w:rsidRDefault="00DD120C" w:rsidP="0079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8C" w:rsidRDefault="00790E8C" w:rsidP="00D766D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8C" w:rsidRDefault="008100B7" w:rsidP="005759A0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1298448" cy="4114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m_logo_4cp_nvy_c_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1"/>
                  <a:stretch/>
                </pic:blipFill>
                <pic:spPr bwMode="auto">
                  <a:xfrm>
                    <a:off x="0" y="0"/>
                    <a:ext cx="1298448" cy="41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41CF69E"/>
    <w:lvl w:ilvl="0">
      <w:start w:val="1"/>
      <w:numFmt w:val="lowerRoman"/>
      <w:pStyle w:val="ListNumber3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01C75867"/>
    <w:multiLevelType w:val="hybridMultilevel"/>
    <w:tmpl w:val="6E2AB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B0D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4513FB1"/>
    <w:multiLevelType w:val="hybridMultilevel"/>
    <w:tmpl w:val="522CB826"/>
    <w:lvl w:ilvl="0" w:tplc="4C36491C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B3193"/>
    <w:multiLevelType w:val="hybridMultilevel"/>
    <w:tmpl w:val="1BCCB3B6"/>
    <w:lvl w:ilvl="0" w:tplc="F75E6E48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F1E66"/>
    <w:multiLevelType w:val="hybridMultilevel"/>
    <w:tmpl w:val="D858282A"/>
    <w:lvl w:ilvl="0" w:tplc="299A8740">
      <w:start w:val="1"/>
      <w:numFmt w:val="decimal"/>
      <w:pStyle w:val="NumHeading1"/>
      <w:lvlText w:val="%1)"/>
      <w:lvlJc w:val="left"/>
      <w:pPr>
        <w:ind w:left="1980" w:hanging="720"/>
      </w:pPr>
      <w:rPr>
        <w:rFonts w:hint="default"/>
      </w:rPr>
    </w:lvl>
    <w:lvl w:ilvl="1" w:tplc="053064C6">
      <w:start w:val="1"/>
      <w:numFmt w:val="decimal"/>
      <w:lvlText w:val="%2)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B6D4C23"/>
    <w:multiLevelType w:val="hybridMultilevel"/>
    <w:tmpl w:val="2D96330E"/>
    <w:lvl w:ilvl="0" w:tplc="B144EA38">
      <w:start w:val="1"/>
      <w:numFmt w:val="bullet"/>
      <w:pStyle w:val="TableTex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04D37"/>
    <w:multiLevelType w:val="hybridMultilevel"/>
    <w:tmpl w:val="C4301E68"/>
    <w:lvl w:ilvl="0" w:tplc="299A8740">
      <w:start w:val="1"/>
      <w:numFmt w:val="decimal"/>
      <w:lvlText w:val="%1)"/>
      <w:lvlJc w:val="left"/>
      <w:pPr>
        <w:ind w:left="1980" w:hanging="720"/>
      </w:pPr>
      <w:rPr>
        <w:rFonts w:hint="default"/>
      </w:rPr>
    </w:lvl>
    <w:lvl w:ilvl="1" w:tplc="E2F8E29A">
      <w:start w:val="1"/>
      <w:numFmt w:val="decimal"/>
      <w:pStyle w:val="NumHeading2"/>
      <w:lvlText w:val="%2)"/>
      <w:lvlJc w:val="left"/>
      <w:pPr>
        <w:ind w:left="2340" w:hanging="360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7DA140A"/>
    <w:multiLevelType w:val="hybridMultilevel"/>
    <w:tmpl w:val="191492BE"/>
    <w:lvl w:ilvl="0" w:tplc="E528B27A">
      <w:start w:val="1"/>
      <w:numFmt w:val="bullet"/>
      <w:pStyle w:val="TableTextBullet1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449B4432"/>
    <w:multiLevelType w:val="hybridMultilevel"/>
    <w:tmpl w:val="4DD8E6AE"/>
    <w:lvl w:ilvl="0" w:tplc="5664C118">
      <w:start w:val="1"/>
      <w:numFmt w:val="lowerLetter"/>
      <w:pStyle w:val="ListNumber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1060F5"/>
    <w:multiLevelType w:val="hybridMultilevel"/>
    <w:tmpl w:val="1D68808A"/>
    <w:lvl w:ilvl="0" w:tplc="AD9CEA8A">
      <w:start w:val="1"/>
      <w:numFmt w:val="decimal"/>
      <w:pStyle w:val="QAQuestion"/>
      <w:lvlText w:val="Q%1."/>
      <w:lvlJc w:val="left"/>
      <w:pPr>
        <w:ind w:left="360" w:hanging="360"/>
      </w:pPr>
      <w:rPr>
        <w:rFonts w:ascii="Source Sans Pro" w:hAnsi="Source Sans Pro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97582A"/>
    <w:multiLevelType w:val="hybridMultilevel"/>
    <w:tmpl w:val="C59C8A96"/>
    <w:lvl w:ilvl="0" w:tplc="0BFAE054">
      <w:start w:val="1"/>
      <w:numFmt w:val="upperLetter"/>
      <w:lvlText w:val="%1."/>
      <w:lvlJc w:val="left"/>
      <w:pPr>
        <w:ind w:left="66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67754120"/>
    <w:multiLevelType w:val="multilevel"/>
    <w:tmpl w:val="7BC242C2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"/>
      <w:lvlJc w:val="left"/>
      <w:pPr>
        <w:tabs>
          <w:tab w:val="num" w:pos="576"/>
        </w:tabs>
        <w:ind w:left="576" w:hanging="216"/>
      </w:pPr>
      <w:rPr>
        <w:rFonts w:ascii="Wingdings 2" w:hAnsi="Wingdings 2" w:cs="Arial Black" w:hint="default"/>
        <w:position w:val="2"/>
        <w:sz w:val="18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216"/>
      </w:pPr>
      <w:rPr>
        <w:rFonts w:ascii="Century Gothic" w:hAnsi="Century Gothic" w:cs="Times New Roman" w:hint="default"/>
        <w:position w:val="4"/>
        <w:sz w:val="16"/>
        <w:szCs w:val="18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</w:abstractNum>
  <w:abstractNum w:abstractNumId="13" w15:restartNumberingAfterBreak="0">
    <w:nsid w:val="700F3514"/>
    <w:multiLevelType w:val="singleLevel"/>
    <w:tmpl w:val="E2649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139576A"/>
    <w:multiLevelType w:val="hybridMultilevel"/>
    <w:tmpl w:val="296674B2"/>
    <w:lvl w:ilvl="0" w:tplc="593CE4FE">
      <w:start w:val="1"/>
      <w:numFmt w:val="decimal"/>
      <w:pStyle w:val="NumHeading3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F0E7C"/>
    <w:multiLevelType w:val="hybridMultilevel"/>
    <w:tmpl w:val="0882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E5718D"/>
    <w:multiLevelType w:val="hybridMultilevel"/>
    <w:tmpl w:val="47F618C8"/>
    <w:lvl w:ilvl="0" w:tplc="94A4ED98">
      <w:start w:val="1"/>
      <w:numFmt w:val="none"/>
      <w:pStyle w:val="Note"/>
      <w:lvlText w:val="Note:"/>
      <w:lvlJc w:val="left"/>
      <w:pPr>
        <w:tabs>
          <w:tab w:val="num" w:pos="1800"/>
        </w:tabs>
        <w:ind w:left="1080"/>
      </w:pPr>
      <w:rPr>
        <w:rFonts w:ascii="Arial Black" w:hAnsi="Arial Black" w:cs="Times New Roman" w:hint="default"/>
        <w:b w:val="0"/>
        <w:i w:val="0"/>
        <w:caps/>
        <w:spacing w:val="20"/>
        <w:sz w:val="16"/>
      </w:rPr>
    </w:lvl>
    <w:lvl w:ilvl="1" w:tplc="6BE01166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BC1AA38C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E5209E5E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F6F0EF5A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18667BA0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1A5C7DC4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6A00F5E4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C200275E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16"/>
  </w:num>
  <w:num w:numId="8">
    <w:abstractNumId w:val="5"/>
  </w:num>
  <w:num w:numId="9">
    <w:abstractNumId w:val="14"/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80"/>
    <w:rsid w:val="0000133D"/>
    <w:rsid w:val="00023B9C"/>
    <w:rsid w:val="000245AA"/>
    <w:rsid w:val="00026B46"/>
    <w:rsid w:val="00033A3A"/>
    <w:rsid w:val="0004197F"/>
    <w:rsid w:val="00055F6D"/>
    <w:rsid w:val="000616D1"/>
    <w:rsid w:val="00067EB0"/>
    <w:rsid w:val="00072B46"/>
    <w:rsid w:val="000937D4"/>
    <w:rsid w:val="00093D36"/>
    <w:rsid w:val="000B5765"/>
    <w:rsid w:val="000B777D"/>
    <w:rsid w:val="000C3B15"/>
    <w:rsid w:val="000D3E5B"/>
    <w:rsid w:val="000D5C18"/>
    <w:rsid w:val="000E38EC"/>
    <w:rsid w:val="000F0A17"/>
    <w:rsid w:val="00110DF8"/>
    <w:rsid w:val="001255ED"/>
    <w:rsid w:val="00135C2A"/>
    <w:rsid w:val="00165719"/>
    <w:rsid w:val="00172C48"/>
    <w:rsid w:val="00173324"/>
    <w:rsid w:val="0019009A"/>
    <w:rsid w:val="00193021"/>
    <w:rsid w:val="001E2F05"/>
    <w:rsid w:val="001F1485"/>
    <w:rsid w:val="002147B2"/>
    <w:rsid w:val="00225B87"/>
    <w:rsid w:val="0024359C"/>
    <w:rsid w:val="0024479E"/>
    <w:rsid w:val="00252BEB"/>
    <w:rsid w:val="00276B5B"/>
    <w:rsid w:val="00285128"/>
    <w:rsid w:val="002865DE"/>
    <w:rsid w:val="002962E3"/>
    <w:rsid w:val="002B2D70"/>
    <w:rsid w:val="002E0564"/>
    <w:rsid w:val="002E1428"/>
    <w:rsid w:val="00316612"/>
    <w:rsid w:val="0033756D"/>
    <w:rsid w:val="0034399D"/>
    <w:rsid w:val="0037083D"/>
    <w:rsid w:val="00376F2D"/>
    <w:rsid w:val="003927BD"/>
    <w:rsid w:val="003B169A"/>
    <w:rsid w:val="003B70A7"/>
    <w:rsid w:val="003C2B03"/>
    <w:rsid w:val="003D03D1"/>
    <w:rsid w:val="003E11E3"/>
    <w:rsid w:val="003F1AF7"/>
    <w:rsid w:val="00401761"/>
    <w:rsid w:val="00405742"/>
    <w:rsid w:val="004117E7"/>
    <w:rsid w:val="00425DCA"/>
    <w:rsid w:val="0044315E"/>
    <w:rsid w:val="00467CDB"/>
    <w:rsid w:val="00477553"/>
    <w:rsid w:val="00480A60"/>
    <w:rsid w:val="00485680"/>
    <w:rsid w:val="00493247"/>
    <w:rsid w:val="004A0130"/>
    <w:rsid w:val="004C3C38"/>
    <w:rsid w:val="004C538C"/>
    <w:rsid w:val="004C6F8E"/>
    <w:rsid w:val="004C711A"/>
    <w:rsid w:val="004D27B2"/>
    <w:rsid w:val="004D335E"/>
    <w:rsid w:val="004F5963"/>
    <w:rsid w:val="00500138"/>
    <w:rsid w:val="0051530E"/>
    <w:rsid w:val="00523F64"/>
    <w:rsid w:val="0054614B"/>
    <w:rsid w:val="00566BCD"/>
    <w:rsid w:val="00571893"/>
    <w:rsid w:val="00574EBC"/>
    <w:rsid w:val="005759A0"/>
    <w:rsid w:val="0058167D"/>
    <w:rsid w:val="00590753"/>
    <w:rsid w:val="005917E6"/>
    <w:rsid w:val="005A1D9D"/>
    <w:rsid w:val="005B2A38"/>
    <w:rsid w:val="005B6FC8"/>
    <w:rsid w:val="005D1A5C"/>
    <w:rsid w:val="005E6B2C"/>
    <w:rsid w:val="005F2ABA"/>
    <w:rsid w:val="006334F9"/>
    <w:rsid w:val="0063396A"/>
    <w:rsid w:val="0063454F"/>
    <w:rsid w:val="00654670"/>
    <w:rsid w:val="00681838"/>
    <w:rsid w:val="00696BDE"/>
    <w:rsid w:val="006A0E5F"/>
    <w:rsid w:val="006A622C"/>
    <w:rsid w:val="006B7D13"/>
    <w:rsid w:val="006C5545"/>
    <w:rsid w:val="006E6790"/>
    <w:rsid w:val="006F2097"/>
    <w:rsid w:val="007520AC"/>
    <w:rsid w:val="00760B65"/>
    <w:rsid w:val="00765248"/>
    <w:rsid w:val="00775741"/>
    <w:rsid w:val="00790E8C"/>
    <w:rsid w:val="007A0CBF"/>
    <w:rsid w:val="007A7D55"/>
    <w:rsid w:val="007B0B1B"/>
    <w:rsid w:val="007B2B6E"/>
    <w:rsid w:val="007C4BDD"/>
    <w:rsid w:val="007E1DCE"/>
    <w:rsid w:val="007F446C"/>
    <w:rsid w:val="00807C16"/>
    <w:rsid w:val="008100B7"/>
    <w:rsid w:val="00816CC3"/>
    <w:rsid w:val="008245F5"/>
    <w:rsid w:val="008718AE"/>
    <w:rsid w:val="0088347D"/>
    <w:rsid w:val="008C6115"/>
    <w:rsid w:val="008E6807"/>
    <w:rsid w:val="00902F97"/>
    <w:rsid w:val="00934172"/>
    <w:rsid w:val="00941667"/>
    <w:rsid w:val="0094563D"/>
    <w:rsid w:val="00947FBF"/>
    <w:rsid w:val="00983909"/>
    <w:rsid w:val="00985195"/>
    <w:rsid w:val="009958C9"/>
    <w:rsid w:val="009A689F"/>
    <w:rsid w:val="009A777D"/>
    <w:rsid w:val="009B222A"/>
    <w:rsid w:val="009C28FB"/>
    <w:rsid w:val="009D18F2"/>
    <w:rsid w:val="009D1C36"/>
    <w:rsid w:val="009F150D"/>
    <w:rsid w:val="00A16D21"/>
    <w:rsid w:val="00A2711B"/>
    <w:rsid w:val="00A30EA7"/>
    <w:rsid w:val="00A37DF2"/>
    <w:rsid w:val="00A521BC"/>
    <w:rsid w:val="00A52723"/>
    <w:rsid w:val="00A52D42"/>
    <w:rsid w:val="00A54BBA"/>
    <w:rsid w:val="00A5620A"/>
    <w:rsid w:val="00A56EAF"/>
    <w:rsid w:val="00A74F69"/>
    <w:rsid w:val="00AB5C77"/>
    <w:rsid w:val="00AF6DD9"/>
    <w:rsid w:val="00AF7A9E"/>
    <w:rsid w:val="00B0399E"/>
    <w:rsid w:val="00B21DD3"/>
    <w:rsid w:val="00B450D7"/>
    <w:rsid w:val="00B53B6F"/>
    <w:rsid w:val="00B578FA"/>
    <w:rsid w:val="00B63FBB"/>
    <w:rsid w:val="00B650C8"/>
    <w:rsid w:val="00B7649E"/>
    <w:rsid w:val="00B80860"/>
    <w:rsid w:val="00B82D12"/>
    <w:rsid w:val="00B94365"/>
    <w:rsid w:val="00BA1C54"/>
    <w:rsid w:val="00BA2714"/>
    <w:rsid w:val="00BA3942"/>
    <w:rsid w:val="00BB6229"/>
    <w:rsid w:val="00BD7FFA"/>
    <w:rsid w:val="00BF1CB5"/>
    <w:rsid w:val="00C01C93"/>
    <w:rsid w:val="00C0592B"/>
    <w:rsid w:val="00C12B6A"/>
    <w:rsid w:val="00C24392"/>
    <w:rsid w:val="00C3166D"/>
    <w:rsid w:val="00C3661C"/>
    <w:rsid w:val="00C37BC2"/>
    <w:rsid w:val="00CA6F94"/>
    <w:rsid w:val="00CD2C32"/>
    <w:rsid w:val="00D03A09"/>
    <w:rsid w:val="00D35A08"/>
    <w:rsid w:val="00D421F1"/>
    <w:rsid w:val="00D64B1C"/>
    <w:rsid w:val="00D71DFE"/>
    <w:rsid w:val="00D72280"/>
    <w:rsid w:val="00D766DB"/>
    <w:rsid w:val="00D86D39"/>
    <w:rsid w:val="00D90834"/>
    <w:rsid w:val="00D930C3"/>
    <w:rsid w:val="00D97447"/>
    <w:rsid w:val="00DB6C03"/>
    <w:rsid w:val="00DB72C0"/>
    <w:rsid w:val="00DC067B"/>
    <w:rsid w:val="00DC207A"/>
    <w:rsid w:val="00DC6D73"/>
    <w:rsid w:val="00DD120C"/>
    <w:rsid w:val="00DD5743"/>
    <w:rsid w:val="00DD734F"/>
    <w:rsid w:val="00DE6ECF"/>
    <w:rsid w:val="00DF3190"/>
    <w:rsid w:val="00E06450"/>
    <w:rsid w:val="00E11129"/>
    <w:rsid w:val="00E25884"/>
    <w:rsid w:val="00E3254E"/>
    <w:rsid w:val="00E571DA"/>
    <w:rsid w:val="00E57E01"/>
    <w:rsid w:val="00E71AC8"/>
    <w:rsid w:val="00E774EF"/>
    <w:rsid w:val="00EB0F08"/>
    <w:rsid w:val="00EC00F7"/>
    <w:rsid w:val="00EC19D0"/>
    <w:rsid w:val="00ED0B67"/>
    <w:rsid w:val="00ED3FAE"/>
    <w:rsid w:val="00ED738D"/>
    <w:rsid w:val="00F1049D"/>
    <w:rsid w:val="00F13F4C"/>
    <w:rsid w:val="00F4210F"/>
    <w:rsid w:val="00F458CB"/>
    <w:rsid w:val="00F527D4"/>
    <w:rsid w:val="00F847CF"/>
    <w:rsid w:val="00F86282"/>
    <w:rsid w:val="00F91E18"/>
    <w:rsid w:val="00F945EF"/>
    <w:rsid w:val="00FB659F"/>
    <w:rsid w:val="00FD031A"/>
    <w:rsid w:val="00FD09C0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256D23A-B4DF-485A-BB4F-F6A27C36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447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semiHidden/>
    <w:qFormat/>
    <w:rsid w:val="00072B46"/>
    <w:pPr>
      <w:keepNext/>
      <w:keepLines/>
      <w:spacing w:after="60"/>
      <w:outlineLvl w:val="0"/>
    </w:pPr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paragraph" w:styleId="Heading2">
    <w:name w:val="heading 2"/>
    <w:basedOn w:val="Heading1"/>
    <w:next w:val="Normal"/>
    <w:link w:val="Heading2Char"/>
    <w:semiHidden/>
    <w:qFormat/>
    <w:rsid w:val="00F847CF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semiHidden/>
    <w:qFormat/>
    <w:rsid w:val="00F847CF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E1428"/>
    <w:pPr>
      <w:keepNext/>
      <w:keepLines/>
      <w:spacing w:after="60"/>
      <w:outlineLvl w:val="3"/>
    </w:pPr>
    <w:rPr>
      <w:rFonts w:ascii="Arial" w:hAnsi="Arial"/>
      <w:iCs/>
      <w:color w:val="121212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55F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3D5F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B72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63636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28"/>
      <w:szCs w:val="26"/>
    </w:rPr>
  </w:style>
  <w:style w:type="paragraph" w:styleId="ListParagraph">
    <w:name w:val="List Paragraph"/>
    <w:basedOn w:val="ListBullet"/>
    <w:uiPriority w:val="34"/>
    <w:qFormat/>
    <w:rsid w:val="00067EB0"/>
    <w:pPr>
      <w:numPr>
        <w:numId w:val="6"/>
      </w:numPr>
      <w:ind w:left="216"/>
    </w:pPr>
    <w:rPr>
      <w:rFonts w:cs="Arial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01761"/>
    <w:rPr>
      <w:rFonts w:asciiTheme="majorHAnsi" w:eastAsiaTheme="majorEastAsia" w:hAnsiTheme="majorHAnsi" w:cstheme="majorBidi"/>
      <w:b/>
      <w:color w:val="05304D" w:themeColor="text2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01761"/>
    <w:rPr>
      <w:rFonts w:ascii="Arial" w:hAnsi="Arial"/>
      <w:iCs/>
      <w:color w:val="121212" w:themeColor="text1"/>
    </w:rPr>
  </w:style>
  <w:style w:type="paragraph" w:styleId="Title">
    <w:name w:val="Title"/>
    <w:basedOn w:val="Heading1"/>
    <w:next w:val="Normal"/>
    <w:link w:val="TitleChar"/>
    <w:uiPriority w:val="1"/>
    <w:semiHidden/>
    <w:qFormat/>
    <w:rsid w:val="00072B46"/>
  </w:style>
  <w:style w:type="character" w:customStyle="1" w:styleId="TitleChar">
    <w:name w:val="Title Char"/>
    <w:basedOn w:val="DefaultParagraphFont"/>
    <w:link w:val="Title"/>
    <w:uiPriority w:val="1"/>
    <w:semiHidden/>
    <w:rsid w:val="00ED3FAE"/>
    <w:rPr>
      <w:rFonts w:asciiTheme="majorHAnsi" w:eastAsiaTheme="majorEastAsia" w:hAnsiTheme="majorHAnsi" w:cstheme="majorBidi"/>
      <w:b/>
      <w:color w:val="05304D" w:themeColor="text2"/>
      <w:kern w:val="28"/>
      <w:sz w:val="32"/>
      <w:szCs w:val="56"/>
    </w:rPr>
  </w:style>
  <w:style w:type="paragraph" w:styleId="NoSpacing">
    <w:name w:val="No Spacing"/>
    <w:uiPriority w:val="9"/>
    <w:semiHidden/>
    <w:rsid w:val="00D72280"/>
    <w:rPr>
      <w:sz w:val="20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2E1428"/>
    <w:pPr>
      <w:numPr>
        <w:ilvl w:val="1"/>
      </w:numPr>
      <w:spacing w:after="60"/>
    </w:pPr>
    <w:rPr>
      <w:rFonts w:eastAsiaTheme="minorEastAsia"/>
      <w:color w:val="121212" w:themeColor="tex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3F1AF7"/>
    <w:rPr>
      <w:rFonts w:eastAsiaTheme="minorEastAsia"/>
      <w:color w:val="121212" w:themeColor="text1"/>
      <w:spacing w:val="15"/>
    </w:rPr>
  </w:style>
  <w:style w:type="paragraph" w:styleId="Header">
    <w:name w:val="header"/>
    <w:basedOn w:val="Normal"/>
    <w:link w:val="HeaderChar"/>
    <w:unhideWhenUsed/>
    <w:rsid w:val="00681838"/>
    <w:pPr>
      <w:tabs>
        <w:tab w:val="center" w:pos="4680"/>
        <w:tab w:val="right" w:pos="9360"/>
      </w:tabs>
    </w:pPr>
    <w:rPr>
      <w:rFonts w:ascii="Arial" w:hAnsi="Arial"/>
      <w:color w:val="666666"/>
      <w:sz w:val="16"/>
    </w:rPr>
  </w:style>
  <w:style w:type="character" w:customStyle="1" w:styleId="HeaderChar">
    <w:name w:val="Header Char"/>
    <w:basedOn w:val="DefaultParagraphFont"/>
    <w:link w:val="Header"/>
    <w:uiPriority w:val="1"/>
    <w:rsid w:val="000B777D"/>
    <w:rPr>
      <w:rFonts w:ascii="Arial" w:hAnsi="Arial"/>
      <w:color w:val="666666"/>
      <w:sz w:val="16"/>
    </w:rPr>
  </w:style>
  <w:style w:type="paragraph" w:styleId="Footer">
    <w:name w:val="footer"/>
    <w:basedOn w:val="Normal"/>
    <w:link w:val="FooterChar"/>
    <w:uiPriority w:val="1"/>
    <w:qFormat/>
    <w:rsid w:val="00F91E18"/>
    <w:pPr>
      <w:tabs>
        <w:tab w:val="right" w:pos="10440"/>
        <w:tab w:val="right" w:pos="10800"/>
      </w:tabs>
    </w:pPr>
    <w:rPr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1"/>
    <w:rsid w:val="000B777D"/>
    <w:rPr>
      <w:color w:val="666666"/>
      <w:sz w:val="16"/>
    </w:rPr>
  </w:style>
  <w:style w:type="paragraph" w:customStyle="1" w:styleId="NavyTableHeading">
    <w:name w:val="Navy Table Heading"/>
    <w:basedOn w:val="BodyText"/>
    <w:uiPriority w:val="1"/>
    <w:qFormat/>
    <w:rsid w:val="007B0B1B"/>
    <w:pPr>
      <w:keepNext/>
      <w:spacing w:after="60"/>
      <w:ind w:left="144"/>
    </w:pPr>
    <w:rPr>
      <w:rFonts w:eastAsia="Times New Roman" w:cs="Times New Roman"/>
      <w:b/>
      <w:color w:val="05304D" w:themeColor="text2"/>
      <w:szCs w:val="24"/>
    </w:rPr>
  </w:style>
  <w:style w:type="paragraph" w:customStyle="1" w:styleId="TableText">
    <w:name w:val="Table Text"/>
    <w:basedOn w:val="BodyText"/>
    <w:uiPriority w:val="1"/>
    <w:qFormat/>
    <w:rsid w:val="00033A3A"/>
    <w:pPr>
      <w:spacing w:after="60"/>
      <w:ind w:left="144"/>
    </w:pPr>
    <w:rPr>
      <w:rFonts w:eastAsia="Times New Roman" w:cs="Times New Roman"/>
      <w:sz w:val="18"/>
      <w:szCs w:val="24"/>
    </w:rPr>
  </w:style>
  <w:style w:type="paragraph" w:customStyle="1" w:styleId="TableTextBullet1">
    <w:name w:val="Table Text Bullet 1"/>
    <w:basedOn w:val="TableText"/>
    <w:uiPriority w:val="1"/>
    <w:qFormat/>
    <w:rsid w:val="00DC067B"/>
    <w:pPr>
      <w:numPr>
        <w:numId w:val="1"/>
      </w:numPr>
      <w:tabs>
        <w:tab w:val="num" w:pos="360"/>
      </w:tabs>
      <w:ind w:left="360" w:hanging="216"/>
    </w:pPr>
    <w:rPr>
      <w:lang w:val="fr-FR"/>
    </w:rPr>
  </w:style>
  <w:style w:type="paragraph" w:customStyle="1" w:styleId="TableTextBullet2">
    <w:name w:val="Table Text Bullet 2"/>
    <w:basedOn w:val="TableText"/>
    <w:uiPriority w:val="1"/>
    <w:qFormat/>
    <w:rsid w:val="002E0564"/>
    <w:pPr>
      <w:numPr>
        <w:numId w:val="2"/>
      </w:numPr>
    </w:pPr>
  </w:style>
  <w:style w:type="paragraph" w:styleId="BodyText">
    <w:name w:val="Body Text"/>
    <w:basedOn w:val="Normal"/>
    <w:link w:val="BodyTextChar"/>
    <w:autoRedefine/>
    <w:rsid w:val="005F2ABA"/>
    <w:rPr>
      <w:rFonts w:asciiTheme="majorHAnsi" w:hAnsiTheme="majorHAnsi"/>
      <w:i/>
      <w:color w:val="238196" w:themeColor="accent2"/>
      <w:szCs w:val="20"/>
    </w:rPr>
  </w:style>
  <w:style w:type="character" w:customStyle="1" w:styleId="BodyTextChar">
    <w:name w:val="Body Text Char"/>
    <w:basedOn w:val="DefaultParagraphFont"/>
    <w:link w:val="BodyText"/>
    <w:rsid w:val="005F2ABA"/>
    <w:rPr>
      <w:rFonts w:asciiTheme="majorHAnsi" w:hAnsiTheme="majorHAnsi"/>
      <w:i/>
      <w:color w:val="238196" w:themeColor="accent2"/>
      <w:sz w:val="20"/>
      <w:szCs w:val="20"/>
    </w:rPr>
  </w:style>
  <w:style w:type="paragraph" w:styleId="Caption">
    <w:name w:val="caption"/>
    <w:basedOn w:val="Normal"/>
    <w:next w:val="Normal"/>
    <w:uiPriority w:val="1"/>
    <w:qFormat/>
    <w:rsid w:val="00D97447"/>
    <w:pPr>
      <w:spacing w:before="60"/>
    </w:pPr>
    <w:rPr>
      <w:i/>
      <w:iCs/>
      <w:color w:val="121212" w:themeColor="tex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0399E"/>
  </w:style>
  <w:style w:type="paragraph" w:customStyle="1" w:styleId="BlueHeading1">
    <w:name w:val="Blue Heading 1"/>
    <w:basedOn w:val="Heading1"/>
    <w:next w:val="Normal"/>
    <w:uiPriority w:val="2"/>
    <w:qFormat/>
    <w:rsid w:val="00033A3A"/>
    <w:rPr>
      <w:color w:val="085280" w:themeColor="accent1"/>
    </w:rPr>
  </w:style>
  <w:style w:type="paragraph" w:customStyle="1" w:styleId="BlueHeading2">
    <w:name w:val="Blue Heading 2"/>
    <w:basedOn w:val="Heading2"/>
    <w:next w:val="Normal"/>
    <w:uiPriority w:val="2"/>
    <w:qFormat/>
    <w:rsid w:val="00033A3A"/>
    <w:rPr>
      <w:color w:val="085280" w:themeColor="accent1"/>
    </w:rPr>
  </w:style>
  <w:style w:type="paragraph" w:customStyle="1" w:styleId="BlueHeading3">
    <w:name w:val="Blue Heading 3"/>
    <w:basedOn w:val="Heading3"/>
    <w:next w:val="Normal"/>
    <w:uiPriority w:val="2"/>
    <w:qFormat/>
    <w:rsid w:val="00033A3A"/>
    <w:rPr>
      <w:color w:val="085280" w:themeColor="accent1"/>
    </w:rPr>
  </w:style>
  <w:style w:type="paragraph" w:customStyle="1" w:styleId="BlueTableHeading">
    <w:name w:val="Blue Table Heading"/>
    <w:basedOn w:val="NavyTableHeading"/>
    <w:uiPriority w:val="2"/>
    <w:qFormat/>
    <w:rsid w:val="00033A3A"/>
    <w:rPr>
      <w:color w:val="085280" w:themeColor="accent1"/>
    </w:rPr>
  </w:style>
  <w:style w:type="paragraph" w:customStyle="1" w:styleId="TealHeading1">
    <w:name w:val="Teal Heading 1"/>
    <w:basedOn w:val="Heading1"/>
    <w:next w:val="Normal"/>
    <w:uiPriority w:val="2"/>
    <w:qFormat/>
    <w:rsid w:val="00033A3A"/>
    <w:rPr>
      <w:color w:val="238196" w:themeColor="accent2"/>
    </w:rPr>
  </w:style>
  <w:style w:type="paragraph" w:customStyle="1" w:styleId="TealHeading2">
    <w:name w:val="Teal Heading 2"/>
    <w:basedOn w:val="Heading2"/>
    <w:next w:val="Normal"/>
    <w:uiPriority w:val="2"/>
    <w:qFormat/>
    <w:rsid w:val="00033A3A"/>
    <w:rPr>
      <w:color w:val="238196" w:themeColor="accent2"/>
    </w:rPr>
  </w:style>
  <w:style w:type="paragraph" w:customStyle="1" w:styleId="TealHeading3">
    <w:name w:val="Teal Heading 3"/>
    <w:basedOn w:val="Heading3"/>
    <w:next w:val="Normal"/>
    <w:uiPriority w:val="2"/>
    <w:qFormat/>
    <w:rsid w:val="00033A3A"/>
    <w:rPr>
      <w:color w:val="238196" w:themeColor="accent2"/>
    </w:rPr>
  </w:style>
  <w:style w:type="paragraph" w:customStyle="1" w:styleId="TealTableHeading">
    <w:name w:val="Teal Table Heading"/>
    <w:basedOn w:val="NavyTableHeading"/>
    <w:uiPriority w:val="2"/>
    <w:qFormat/>
    <w:rsid w:val="00033A3A"/>
    <w:rPr>
      <w:color w:val="238196" w:themeColor="accent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B1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B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B1B"/>
    <w:rPr>
      <w:vertAlign w:val="superscript"/>
    </w:rPr>
  </w:style>
  <w:style w:type="paragraph" w:customStyle="1" w:styleId="ListParagraph-Numbers">
    <w:name w:val="List Paragraph-Numbers"/>
    <w:basedOn w:val="ListNumber"/>
    <w:uiPriority w:val="1"/>
    <w:qFormat/>
    <w:rsid w:val="008C6115"/>
  </w:style>
  <w:style w:type="paragraph" w:customStyle="1" w:styleId="QAAnswer">
    <w:name w:val="Q&amp;A Answer"/>
    <w:basedOn w:val="BodyText"/>
    <w:link w:val="QAAnswerChar"/>
    <w:qFormat/>
    <w:rsid w:val="00033A3A"/>
    <w:pPr>
      <w:spacing w:before="120" w:line="260" w:lineRule="exact"/>
      <w:ind w:left="720" w:right="720"/>
    </w:pPr>
    <w:rPr>
      <w:rFonts w:eastAsia="Times New Roman" w:cs="Times New Roman"/>
      <w:szCs w:val="24"/>
    </w:rPr>
  </w:style>
  <w:style w:type="character" w:customStyle="1" w:styleId="QAAnswerChar">
    <w:name w:val="Q&amp;A Answer Char"/>
    <w:basedOn w:val="DefaultParagraphFont"/>
    <w:link w:val="QAAnswer"/>
    <w:locked/>
    <w:rsid w:val="00033A3A"/>
    <w:rPr>
      <w:rFonts w:eastAsia="Times New Roman" w:cs="Times New Roman"/>
      <w:sz w:val="20"/>
      <w:szCs w:val="24"/>
    </w:rPr>
  </w:style>
  <w:style w:type="paragraph" w:customStyle="1" w:styleId="QAQuestion">
    <w:name w:val="Q&amp;A Question"/>
    <w:basedOn w:val="BodyText"/>
    <w:next w:val="QAAnswer"/>
    <w:qFormat/>
    <w:rsid w:val="0024479E"/>
    <w:pPr>
      <w:numPr>
        <w:numId w:val="3"/>
      </w:numPr>
      <w:tabs>
        <w:tab w:val="left" w:pos="720"/>
      </w:tabs>
      <w:spacing w:before="360" w:line="260" w:lineRule="exact"/>
      <w:ind w:left="720" w:hanging="720"/>
    </w:pPr>
    <w:rPr>
      <w:rFonts w:eastAsia="Times New Roman" w:cs="Times New Roman"/>
      <w:b/>
      <w:szCs w:val="24"/>
    </w:rPr>
  </w:style>
  <w:style w:type="paragraph" w:styleId="ListBullet">
    <w:name w:val="List Bullet"/>
    <w:basedOn w:val="BodyText"/>
    <w:autoRedefine/>
    <w:uiPriority w:val="1"/>
    <w:rsid w:val="002865DE"/>
    <w:pPr>
      <w:spacing w:before="120" w:line="260" w:lineRule="exact"/>
      <w:ind w:left="720" w:right="720"/>
    </w:pPr>
    <w:rPr>
      <w:rFonts w:eastAsia="Times New Roman" w:cs="Times New Roman"/>
      <w:szCs w:val="24"/>
    </w:rPr>
  </w:style>
  <w:style w:type="paragraph" w:styleId="ListBullet2">
    <w:name w:val="List Bullet 2"/>
    <w:basedOn w:val="BodyText"/>
    <w:uiPriority w:val="1"/>
    <w:qFormat/>
    <w:rsid w:val="006334F9"/>
    <w:pPr>
      <w:numPr>
        <w:numId w:val="11"/>
      </w:numPr>
      <w:spacing w:before="120" w:line="260" w:lineRule="exact"/>
      <w:ind w:left="720"/>
    </w:pPr>
    <w:rPr>
      <w:rFonts w:eastAsia="Times New Roman" w:cs="Times New Roman"/>
      <w:szCs w:val="24"/>
    </w:rPr>
  </w:style>
  <w:style w:type="paragraph" w:styleId="ListBullet3">
    <w:name w:val="List Bullet 3"/>
    <w:basedOn w:val="BodyText"/>
    <w:uiPriority w:val="1"/>
    <w:qFormat/>
    <w:rsid w:val="006334F9"/>
    <w:pPr>
      <w:numPr>
        <w:numId w:val="12"/>
      </w:numPr>
      <w:spacing w:before="120" w:line="260" w:lineRule="exact"/>
    </w:pPr>
    <w:rPr>
      <w:rFonts w:eastAsia="Times New Roman" w:cs="Times New Roman"/>
      <w:szCs w:val="24"/>
    </w:rPr>
  </w:style>
  <w:style w:type="paragraph" w:styleId="ListNumber">
    <w:name w:val="List Number"/>
    <w:basedOn w:val="BodyText"/>
    <w:uiPriority w:val="1"/>
    <w:qFormat/>
    <w:rsid w:val="006334F9"/>
    <w:pPr>
      <w:spacing w:before="120"/>
      <w:ind w:left="360" w:hanging="360"/>
    </w:pPr>
    <w:rPr>
      <w:rFonts w:eastAsia="Times New Roman" w:cs="Times New Roman"/>
      <w:szCs w:val="24"/>
    </w:rPr>
  </w:style>
  <w:style w:type="paragraph" w:styleId="ListNumber2">
    <w:name w:val="List Number 2"/>
    <w:basedOn w:val="BodyText"/>
    <w:autoRedefine/>
    <w:uiPriority w:val="1"/>
    <w:qFormat/>
    <w:rsid w:val="006334F9"/>
    <w:pPr>
      <w:numPr>
        <w:numId w:val="5"/>
      </w:numPr>
      <w:tabs>
        <w:tab w:val="num" w:pos="576"/>
      </w:tabs>
      <w:spacing w:before="120"/>
      <w:ind w:left="720"/>
    </w:pPr>
    <w:rPr>
      <w:rFonts w:eastAsia="Times New Roman" w:cs="Times New Roman"/>
      <w:szCs w:val="24"/>
    </w:rPr>
  </w:style>
  <w:style w:type="paragraph" w:styleId="ListNumber3">
    <w:name w:val="List Number 3"/>
    <w:basedOn w:val="BodyText"/>
    <w:uiPriority w:val="1"/>
    <w:qFormat/>
    <w:rsid w:val="006334F9"/>
    <w:pPr>
      <w:numPr>
        <w:numId w:val="4"/>
      </w:numPr>
      <w:spacing w:before="120"/>
      <w:ind w:left="1080"/>
    </w:pPr>
    <w:rPr>
      <w:rFonts w:eastAsia="Times New Roman" w:cs="Times New Roman"/>
      <w:szCs w:val="24"/>
    </w:rPr>
  </w:style>
  <w:style w:type="paragraph" w:customStyle="1" w:styleId="NumHeading1">
    <w:name w:val="Num Heading 1"/>
    <w:basedOn w:val="NavyHeading1"/>
    <w:uiPriority w:val="2"/>
    <w:qFormat/>
    <w:rsid w:val="00C0592B"/>
    <w:pPr>
      <w:numPr>
        <w:numId w:val="8"/>
      </w:numPr>
      <w:ind w:left="450" w:hanging="450"/>
    </w:pPr>
  </w:style>
  <w:style w:type="paragraph" w:customStyle="1" w:styleId="NumHeading2">
    <w:name w:val="Num Heading 2"/>
    <w:basedOn w:val="NavyHeading1"/>
    <w:uiPriority w:val="2"/>
    <w:qFormat/>
    <w:rsid w:val="00067EB0"/>
    <w:pPr>
      <w:numPr>
        <w:ilvl w:val="1"/>
        <w:numId w:val="10"/>
      </w:numPr>
      <w:ind w:left="446" w:hanging="446"/>
    </w:pPr>
    <w:rPr>
      <w:sz w:val="28"/>
      <w:szCs w:val="28"/>
    </w:rPr>
  </w:style>
  <w:style w:type="paragraph" w:customStyle="1" w:styleId="NavyTitle">
    <w:name w:val="Navy Title"/>
    <w:basedOn w:val="Title"/>
    <w:qFormat/>
    <w:rsid w:val="00067EB0"/>
    <w:rPr>
      <w:sz w:val="44"/>
    </w:rPr>
  </w:style>
  <w:style w:type="paragraph" w:customStyle="1" w:styleId="NavyHeading1">
    <w:name w:val="Navy Heading 1"/>
    <w:basedOn w:val="Heading1"/>
    <w:qFormat/>
    <w:rsid w:val="00033A3A"/>
  </w:style>
  <w:style w:type="paragraph" w:customStyle="1" w:styleId="NavyHeading2">
    <w:name w:val="Navy Heading 2"/>
    <w:basedOn w:val="Heading2"/>
    <w:next w:val="Normal"/>
    <w:qFormat/>
    <w:rsid w:val="00072B46"/>
  </w:style>
  <w:style w:type="paragraph" w:customStyle="1" w:styleId="NavyHeading3">
    <w:name w:val="Navy Heading 3"/>
    <w:basedOn w:val="Heading3"/>
    <w:next w:val="Normal"/>
    <w:qFormat/>
    <w:rsid w:val="00072B46"/>
  </w:style>
  <w:style w:type="paragraph" w:customStyle="1" w:styleId="NavyHeading4">
    <w:name w:val="Navy Heading 4"/>
    <w:basedOn w:val="Heading4"/>
    <w:next w:val="Normal"/>
    <w:rsid w:val="00E71AC8"/>
    <w:rPr>
      <w:rFonts w:ascii="Source Sans Pro SemiBold" w:hAnsi="Source Sans Pro SemiBold"/>
      <w:b/>
      <w:color w:val="05304D" w:themeColor="text2"/>
    </w:rPr>
  </w:style>
  <w:style w:type="paragraph" w:customStyle="1" w:styleId="Note">
    <w:name w:val="Note"/>
    <w:basedOn w:val="BodyText"/>
    <w:qFormat/>
    <w:rsid w:val="00033A3A"/>
    <w:pPr>
      <w:numPr>
        <w:numId w:val="7"/>
      </w:numPr>
      <w:pBdr>
        <w:top w:val="single" w:sz="4" w:space="0" w:color="FFFFFF"/>
        <w:left w:val="single" w:sz="4" w:space="7" w:color="3B9CBA"/>
        <w:bottom w:val="single" w:sz="4" w:space="1" w:color="FFFFFF"/>
      </w:pBdr>
      <w:spacing w:before="120" w:line="260" w:lineRule="exact"/>
      <w:ind w:right="144"/>
    </w:pPr>
    <w:rPr>
      <w:rFonts w:eastAsia="Times New Roman" w:cs="Times New Roman"/>
      <w:i w:val="0"/>
      <w:sz w:val="21"/>
      <w:szCs w:val="24"/>
    </w:rPr>
  </w:style>
  <w:style w:type="table" w:styleId="TableGrid">
    <w:name w:val="Table Grid"/>
    <w:basedOn w:val="TableNormal"/>
    <w:rsid w:val="0080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0"/>
    <w:rPr>
      <w:b/>
      <w:bCs/>
      <w:sz w:val="20"/>
      <w:szCs w:val="20"/>
    </w:rPr>
  </w:style>
  <w:style w:type="paragraph" w:customStyle="1" w:styleId="ListNumberIndent">
    <w:name w:val="List Number Indent"/>
    <w:basedOn w:val="BodyText"/>
    <w:uiPriority w:val="1"/>
    <w:qFormat/>
    <w:rsid w:val="00026B46"/>
    <w:pPr>
      <w:ind w:left="540"/>
    </w:pPr>
  </w:style>
  <w:style w:type="paragraph" w:customStyle="1" w:styleId="ListBulletIndent">
    <w:name w:val="List Bullet Indent"/>
    <w:basedOn w:val="Normal"/>
    <w:uiPriority w:val="1"/>
    <w:qFormat/>
    <w:rsid w:val="00BD7FFA"/>
    <w:pPr>
      <w:ind w:left="360"/>
    </w:pPr>
  </w:style>
  <w:style w:type="paragraph" w:customStyle="1" w:styleId="NumHeading3">
    <w:name w:val="Num Heading 3"/>
    <w:basedOn w:val="NavyHeading1"/>
    <w:uiPriority w:val="2"/>
    <w:qFormat/>
    <w:rsid w:val="00067EB0"/>
    <w:pPr>
      <w:numPr>
        <w:numId w:val="9"/>
      </w:numPr>
      <w:ind w:left="446" w:hanging="44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6F8E"/>
    <w:pPr>
      <w:autoSpaceDE w:val="0"/>
      <w:autoSpaceDN w:val="0"/>
      <w:adjustRightInd w:val="0"/>
      <w:spacing w:after="0" w:line="207" w:lineRule="exac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255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celltext-center">
    <w:name w:val="headercelltext-center"/>
    <w:basedOn w:val="Normal"/>
    <w:rsid w:val="00055F6D"/>
    <w:pPr>
      <w:shd w:val="clear" w:color="auto" w:fill="E8E8E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7"/>
      <w:szCs w:val="17"/>
    </w:rPr>
  </w:style>
  <w:style w:type="character" w:customStyle="1" w:styleId="Heading5Char">
    <w:name w:val="Heading 5 Char"/>
    <w:basedOn w:val="DefaultParagraphFont"/>
    <w:link w:val="Heading5"/>
    <w:rsid w:val="00055F6D"/>
    <w:rPr>
      <w:rFonts w:asciiTheme="majorHAnsi" w:eastAsiaTheme="majorEastAsia" w:hAnsiTheme="majorHAnsi" w:cstheme="majorBidi"/>
      <w:color w:val="063D5F" w:themeColor="accent1" w:themeShade="BF"/>
      <w:sz w:val="20"/>
    </w:rPr>
  </w:style>
  <w:style w:type="character" w:styleId="Hyperlink">
    <w:name w:val="Hyperlink"/>
    <w:rsid w:val="00AF6DD9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2C0"/>
    <w:rPr>
      <w:rFonts w:asciiTheme="majorHAnsi" w:eastAsiaTheme="majorEastAsia" w:hAnsiTheme="majorHAnsi" w:cstheme="majorBidi"/>
      <w:color w:val="363636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annie Mae Color Palette 2">
      <a:dk1>
        <a:srgbClr val="121212"/>
      </a:dk1>
      <a:lt1>
        <a:srgbClr val="FFFFFF"/>
      </a:lt1>
      <a:dk2>
        <a:srgbClr val="05304D"/>
      </a:dk2>
      <a:lt2>
        <a:srgbClr val="EDEBE9"/>
      </a:lt2>
      <a:accent1>
        <a:srgbClr val="085280"/>
      </a:accent1>
      <a:accent2>
        <a:srgbClr val="238196"/>
      </a:accent2>
      <a:accent3>
        <a:srgbClr val="C55422"/>
      </a:accent3>
      <a:accent4>
        <a:srgbClr val="FFB400"/>
      </a:accent4>
      <a:accent5>
        <a:srgbClr val="2C6937"/>
      </a:accent5>
      <a:accent6>
        <a:srgbClr val="911A5B"/>
      </a:accent6>
      <a:hlink>
        <a:srgbClr val="085280"/>
      </a:hlink>
      <a:folHlink>
        <a:srgbClr val="911A5B"/>
      </a:folHlink>
    </a:clrScheme>
    <a:fontScheme name="Fannie Mae Brand 2.0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189258E817B40AA678A91EDB20B6E" ma:contentTypeVersion="9" ma:contentTypeDescription="Create a new document." ma:contentTypeScope="" ma:versionID="2c30b27cd20c3970dbea9b303c103b02">
  <xsd:schema xmlns:xsd="http://www.w3.org/2001/XMLSchema" xmlns:xs="http://www.w3.org/2001/XMLSchema" xmlns:p="http://schemas.microsoft.com/office/2006/metadata/properties" xmlns:ns2="f17ba45f-5e04-4eda-bf0a-85b54d18213c" targetNamespace="http://schemas.microsoft.com/office/2006/metadata/properties" ma:root="true" ma:fieldsID="476e0af1977ec9acbe0fac774ae4adfa" ns2:_="">
    <xsd:import namespace="f17ba45f-5e04-4eda-bf0a-85b54d18213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ba45f-5e04-4eda-bf0a-85b54d18213c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Templates"/>
              <xsd:enumeration value="Tip Sheets"/>
              <xsd:enumeration value="Guidelines"/>
              <xsd:enumeration value="Color Palette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17ba45f-5e04-4eda-bf0a-85b54d1821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8519-49F7-4CA9-924A-54DA06835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ba45f-5e04-4eda-bf0a-85b54d182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93156-42EB-4FBA-82BD-6FDEDD96818C}">
  <ds:schemaRefs>
    <ds:schemaRef ds:uri="f17ba45f-5e04-4eda-bf0a-85b54d18213c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5E87AB-8970-47D4-8FA7-B48B50020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EAE05-3CC7-456B-8A25-FA9F3E6A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Fannie Mae</dc:creator>
  <cp:keywords/>
  <dc:description/>
  <cp:lastModifiedBy>Cunningham, Sean</cp:lastModifiedBy>
  <cp:revision>14</cp:revision>
  <cp:lastPrinted>2018-11-29T16:13:00Z</cp:lastPrinted>
  <dcterms:created xsi:type="dcterms:W3CDTF">2019-09-17T19:47:00Z</dcterms:created>
  <dcterms:modified xsi:type="dcterms:W3CDTF">2019-09-24T13:54:00Z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0x0101008CB189258E817B40AA678A91EDB20B6E</vt:lpwstr>
  </property>
</Properties>
</file>