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39E8" w14:textId="4FE9F9FC" w:rsidR="0019248B" w:rsidRPr="00415E78" w:rsidRDefault="0019248B" w:rsidP="0019248B">
      <w:pPr>
        <w:spacing w:after="240"/>
        <w:rPr>
          <w:b/>
        </w:rPr>
      </w:pPr>
      <w:r w:rsidRPr="00774F86">
        <w:rPr>
          <w:b/>
        </w:rPr>
        <w:t>[</w:t>
      </w:r>
      <w:r>
        <w:rPr>
          <w:b/>
        </w:rPr>
        <w:t>DRAFTING NOTE</w:t>
      </w:r>
      <w:proofErr w:type="gramStart"/>
      <w:r w:rsidRPr="00774F86">
        <w:rPr>
          <w:b/>
        </w:rPr>
        <w:t xml:space="preserve">: </w:t>
      </w:r>
      <w:r>
        <w:rPr>
          <w:b/>
        </w:rPr>
        <w:t xml:space="preserve"> </w:t>
      </w:r>
      <w:r w:rsidRPr="00415E78">
        <w:rPr>
          <w:b/>
        </w:rPr>
        <w:t>REVIEW</w:t>
      </w:r>
      <w:proofErr w:type="gramEnd"/>
      <w:r w:rsidRPr="00415E78">
        <w:rPr>
          <w:b/>
        </w:rPr>
        <w:t xml:space="preserve"> THE GROUND LEASE IN ACCORDANCE WITH THE GUIDE AND THIS CHECKLIST AND OBTAIN AN ESTOPPEL </w:t>
      </w:r>
      <w:r>
        <w:rPr>
          <w:b/>
        </w:rPr>
        <w:t xml:space="preserve">SUBSTANTIALLY </w:t>
      </w:r>
      <w:r w:rsidRPr="00415E78">
        <w:rPr>
          <w:b/>
        </w:rPr>
        <w:t xml:space="preserve">IN THE FORM </w:t>
      </w:r>
      <w:r>
        <w:rPr>
          <w:b/>
        </w:rPr>
        <w:t>OF FORM 6495</w:t>
      </w:r>
      <w:r w:rsidRPr="00415E78">
        <w:rPr>
          <w:b/>
        </w:rPr>
        <w:t xml:space="preserve">.  </w:t>
      </w:r>
      <w:r>
        <w:rPr>
          <w:b/>
        </w:rPr>
        <w:t xml:space="preserve">AN ESTOPPEL CANNOT AMEND THE GROUND LEASE, SO </w:t>
      </w:r>
      <w:r w:rsidR="0095442D">
        <w:rPr>
          <w:b/>
        </w:rPr>
        <w:t xml:space="preserve">IF GROUND LEASE MODIFICATIONS ARE </w:t>
      </w:r>
      <w:r w:rsidR="00364E87">
        <w:rPr>
          <w:b/>
        </w:rPr>
        <w:t xml:space="preserve">NECESSARY FOR COMPLIANCE LENDER MUST </w:t>
      </w:r>
      <w:r w:rsidR="0095442D">
        <w:rPr>
          <w:b/>
        </w:rPr>
        <w:t xml:space="preserve">(1) </w:t>
      </w:r>
      <w:r w:rsidR="00364E87">
        <w:rPr>
          <w:b/>
        </w:rPr>
        <w:t xml:space="preserve">REQUIRE </w:t>
      </w:r>
      <w:r>
        <w:rPr>
          <w:b/>
        </w:rPr>
        <w:t>A LEASE AMENDMENT</w:t>
      </w:r>
      <w:r w:rsidR="00364E87">
        <w:rPr>
          <w:b/>
        </w:rPr>
        <w:t>, (2) REQUIRE SUCH PROVISIONS BE INCLUDED IN THE JOINDER (ATTACHED TO FORM 6308) (IF</w:t>
      </w:r>
      <w:r>
        <w:rPr>
          <w:b/>
          <w:bCs/>
        </w:rPr>
        <w:t xml:space="preserve"> GROUND LESSOR AND GROUND LESSEE (INCLUDING DIRECT OR INDIRECT OWNERS) ARE AFFILIATES</w:t>
      </w:r>
      <w:r w:rsidR="00364E87">
        <w:rPr>
          <w:b/>
          <w:bCs/>
        </w:rPr>
        <w:t>)</w:t>
      </w:r>
      <w:r w:rsidR="00A35D98">
        <w:rPr>
          <w:b/>
          <w:bCs/>
        </w:rPr>
        <w:t>,</w:t>
      </w:r>
      <w:r w:rsidR="00364E87">
        <w:rPr>
          <w:b/>
          <w:bCs/>
        </w:rPr>
        <w:t xml:space="preserve"> OR (3) REQUIRE SUCH PROVISIONS BE INCLUDED IN A GROUND LEASE RECOGNITION AND ATTORNMENT AGREEMENT (FORM 6426)</w:t>
      </w:r>
      <w:r>
        <w:rPr>
          <w:b/>
        </w:rPr>
        <w:t xml:space="preserve">.  </w:t>
      </w:r>
      <w:r w:rsidRPr="00415E78">
        <w:rPr>
          <w:b/>
        </w:rPr>
        <w:t>THE CHECKLIST IS NOT A LOAN DOCUMENT AND SHOULD NOT BE ATTACHED TO THE DELIVERED</w:t>
      </w:r>
      <w:r>
        <w:rPr>
          <w:b/>
        </w:rPr>
        <w:t xml:space="preserve"> LOAN DOCUMENTS</w:t>
      </w:r>
      <w:r w:rsidRPr="00415E78">
        <w:rPr>
          <w:b/>
        </w:rPr>
        <w:t>.</w:t>
      </w:r>
      <w:r>
        <w:rPr>
          <w:b/>
        </w:rPr>
        <w:t>]</w:t>
      </w:r>
    </w:p>
    <w:p w14:paraId="38716973" w14:textId="77777777" w:rsidR="0019248B" w:rsidRPr="00516701" w:rsidRDefault="0019248B" w:rsidP="0019248B">
      <w:pPr>
        <w:spacing w:after="240"/>
        <w:rPr>
          <w:b/>
        </w:rPr>
      </w:pPr>
      <w:r>
        <w:rPr>
          <w:b/>
        </w:rPr>
        <w:t>[DRAFTING NOTE</w:t>
      </w:r>
      <w:proofErr w:type="gramStart"/>
      <w:r>
        <w:rPr>
          <w:b/>
        </w:rPr>
        <w:t xml:space="preserve">:  </w:t>
      </w:r>
      <w:r w:rsidRPr="00516701">
        <w:rPr>
          <w:b/>
        </w:rPr>
        <w:t>IF</w:t>
      </w:r>
      <w:proofErr w:type="gramEnd"/>
      <w:r w:rsidRPr="00516701">
        <w:rPr>
          <w:b/>
        </w:rPr>
        <w:t xml:space="preserve"> GROUND LESSOR AND GROUND LESSEE (INCLUDING DIRECT OR INDIRECT OWNERS) ARE AFFILIATE</w:t>
      </w:r>
      <w:r>
        <w:rPr>
          <w:b/>
        </w:rPr>
        <w:t>S,</w:t>
      </w:r>
      <w:r w:rsidRPr="00516701">
        <w:rPr>
          <w:b/>
        </w:rPr>
        <w:t xml:space="preserve"> GROUND LESSOR MUST JOIN INTO THE SECURITY INSTRUMENT AND THE SECURITY INSTRUMENT MUST BE A LIEN ON THE FEE AND THE LEASEHOLD ESTATE</w:t>
      </w:r>
      <w:r>
        <w:rPr>
          <w:b/>
        </w:rPr>
        <w:t>S</w:t>
      </w:r>
      <w:r w:rsidRPr="00516701">
        <w:rPr>
          <w:b/>
        </w:rPr>
        <w:t>.]</w:t>
      </w:r>
    </w:p>
    <w:p w14:paraId="71E73764" w14:textId="77777777" w:rsidR="0019248B" w:rsidRDefault="0019248B" w:rsidP="0019248B">
      <w:pPr>
        <w:spacing w:after="240"/>
        <w:jc w:val="center"/>
        <w:rPr>
          <w:b/>
        </w:rPr>
      </w:pPr>
      <w:r w:rsidRPr="00774F86">
        <w:rPr>
          <w:b/>
        </w:rPr>
        <w:t xml:space="preserve">GROUND LEASE </w:t>
      </w:r>
      <w:r>
        <w:rPr>
          <w:b/>
        </w:rPr>
        <w:t>REVIEW</w:t>
      </w:r>
      <w:r w:rsidRPr="00774F86">
        <w:rPr>
          <w:b/>
        </w:rPr>
        <w:t xml:space="preserve"> CHECKLIST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19248B" w14:paraId="5FE837D6" w14:textId="77777777" w:rsidTr="00571615">
        <w:tc>
          <w:tcPr>
            <w:tcW w:w="3325" w:type="dxa"/>
            <w:tcBorders>
              <w:top w:val="single" w:sz="4" w:space="0" w:color="auto"/>
              <w:left w:val="single" w:sz="4" w:space="0" w:color="auto"/>
              <w:bottom w:val="single" w:sz="4" w:space="0" w:color="auto"/>
              <w:right w:val="single" w:sz="4" w:space="0" w:color="auto"/>
            </w:tcBorders>
          </w:tcPr>
          <w:p w14:paraId="4E44F6A1" w14:textId="77777777" w:rsidR="0019248B" w:rsidRDefault="0019248B" w:rsidP="00571615">
            <w:pPr>
              <w:jc w:val="left"/>
              <w:rPr>
                <w:b/>
              </w:rPr>
            </w:pPr>
            <w:r>
              <w:rPr>
                <w:b/>
              </w:rPr>
              <w:t>LENDER</w:t>
            </w:r>
          </w:p>
        </w:tc>
        <w:tc>
          <w:tcPr>
            <w:tcW w:w="6210" w:type="dxa"/>
            <w:tcBorders>
              <w:top w:val="single" w:sz="4" w:space="0" w:color="auto"/>
              <w:left w:val="single" w:sz="4" w:space="0" w:color="auto"/>
              <w:bottom w:val="single" w:sz="4" w:space="0" w:color="auto"/>
              <w:right w:val="single" w:sz="4" w:space="0" w:color="auto"/>
            </w:tcBorders>
          </w:tcPr>
          <w:p w14:paraId="46B66FB4" w14:textId="77777777" w:rsidR="0019248B" w:rsidRDefault="0019248B" w:rsidP="00571615">
            <w:pPr>
              <w:rPr>
                <w:b/>
              </w:rPr>
            </w:pPr>
          </w:p>
        </w:tc>
      </w:tr>
      <w:tr w:rsidR="0019248B" w14:paraId="6142B267" w14:textId="77777777" w:rsidTr="00571615">
        <w:tc>
          <w:tcPr>
            <w:tcW w:w="3325" w:type="dxa"/>
            <w:tcBorders>
              <w:top w:val="single" w:sz="4" w:space="0" w:color="auto"/>
              <w:left w:val="single" w:sz="4" w:space="0" w:color="auto"/>
              <w:bottom w:val="single" w:sz="4" w:space="0" w:color="auto"/>
              <w:right w:val="single" w:sz="4" w:space="0" w:color="auto"/>
            </w:tcBorders>
          </w:tcPr>
          <w:p w14:paraId="6AB2F8B6" w14:textId="77777777" w:rsidR="0019248B" w:rsidRDefault="0019248B" w:rsidP="00571615">
            <w:pPr>
              <w:jc w:val="left"/>
              <w:rPr>
                <w:b/>
              </w:rPr>
            </w:pPr>
            <w:r>
              <w:rPr>
                <w:b/>
              </w:rPr>
              <w:t>PROJECT NAME/LOCATION</w:t>
            </w:r>
          </w:p>
        </w:tc>
        <w:tc>
          <w:tcPr>
            <w:tcW w:w="6210" w:type="dxa"/>
            <w:tcBorders>
              <w:top w:val="single" w:sz="4" w:space="0" w:color="auto"/>
              <w:left w:val="single" w:sz="4" w:space="0" w:color="auto"/>
              <w:bottom w:val="single" w:sz="4" w:space="0" w:color="auto"/>
              <w:right w:val="single" w:sz="4" w:space="0" w:color="auto"/>
            </w:tcBorders>
          </w:tcPr>
          <w:p w14:paraId="6EFC5480" w14:textId="77777777" w:rsidR="0019248B" w:rsidRDefault="0019248B" w:rsidP="00571615">
            <w:pPr>
              <w:rPr>
                <w:b/>
              </w:rPr>
            </w:pPr>
          </w:p>
        </w:tc>
      </w:tr>
      <w:tr w:rsidR="0019248B" w14:paraId="73888231" w14:textId="77777777" w:rsidTr="00571615">
        <w:tc>
          <w:tcPr>
            <w:tcW w:w="3325" w:type="dxa"/>
            <w:tcBorders>
              <w:top w:val="single" w:sz="4" w:space="0" w:color="auto"/>
              <w:left w:val="single" w:sz="4" w:space="0" w:color="auto"/>
              <w:bottom w:val="single" w:sz="4" w:space="0" w:color="auto"/>
              <w:right w:val="single" w:sz="4" w:space="0" w:color="auto"/>
            </w:tcBorders>
          </w:tcPr>
          <w:p w14:paraId="56C2F5A7" w14:textId="77777777" w:rsidR="0019248B" w:rsidRDefault="0019248B" w:rsidP="00571615">
            <w:pPr>
              <w:jc w:val="left"/>
              <w:rPr>
                <w:b/>
              </w:rPr>
            </w:pPr>
            <w:r>
              <w:rPr>
                <w:b/>
              </w:rPr>
              <w:t>LAW FIRM</w:t>
            </w:r>
          </w:p>
        </w:tc>
        <w:tc>
          <w:tcPr>
            <w:tcW w:w="6210" w:type="dxa"/>
            <w:tcBorders>
              <w:top w:val="single" w:sz="4" w:space="0" w:color="auto"/>
              <w:left w:val="single" w:sz="4" w:space="0" w:color="auto"/>
              <w:bottom w:val="single" w:sz="4" w:space="0" w:color="auto"/>
              <w:right w:val="single" w:sz="4" w:space="0" w:color="auto"/>
            </w:tcBorders>
          </w:tcPr>
          <w:p w14:paraId="1056F883" w14:textId="77777777" w:rsidR="0019248B" w:rsidRDefault="0019248B" w:rsidP="00571615">
            <w:pPr>
              <w:rPr>
                <w:b/>
              </w:rPr>
            </w:pPr>
          </w:p>
        </w:tc>
      </w:tr>
      <w:tr w:rsidR="0019248B" w14:paraId="001FFE1E" w14:textId="77777777" w:rsidTr="00571615">
        <w:tc>
          <w:tcPr>
            <w:tcW w:w="3325" w:type="dxa"/>
            <w:tcBorders>
              <w:top w:val="single" w:sz="4" w:space="0" w:color="auto"/>
              <w:left w:val="single" w:sz="4" w:space="0" w:color="auto"/>
              <w:bottom w:val="single" w:sz="4" w:space="0" w:color="auto"/>
              <w:right w:val="single" w:sz="4" w:space="0" w:color="auto"/>
            </w:tcBorders>
          </w:tcPr>
          <w:p w14:paraId="56F79260" w14:textId="77777777" w:rsidR="0019248B" w:rsidRDefault="0019248B" w:rsidP="00571615">
            <w:pPr>
              <w:jc w:val="left"/>
              <w:rPr>
                <w:b/>
              </w:rPr>
            </w:pPr>
            <w:r>
              <w:rPr>
                <w:b/>
              </w:rPr>
              <w:t>LAW FIRM ATTORNEY CONTACT INFORMATION</w:t>
            </w:r>
          </w:p>
        </w:tc>
        <w:tc>
          <w:tcPr>
            <w:tcW w:w="6210" w:type="dxa"/>
            <w:tcBorders>
              <w:top w:val="single" w:sz="4" w:space="0" w:color="auto"/>
              <w:left w:val="single" w:sz="4" w:space="0" w:color="auto"/>
              <w:bottom w:val="single" w:sz="4" w:space="0" w:color="auto"/>
              <w:right w:val="single" w:sz="4" w:space="0" w:color="auto"/>
            </w:tcBorders>
          </w:tcPr>
          <w:p w14:paraId="72B76163" w14:textId="77777777" w:rsidR="0019248B" w:rsidRDefault="0019248B" w:rsidP="00571615">
            <w:pPr>
              <w:rPr>
                <w:b/>
              </w:rPr>
            </w:pPr>
          </w:p>
        </w:tc>
      </w:tr>
    </w:tbl>
    <w:p w14:paraId="66646EC8" w14:textId="77777777" w:rsidR="0019248B" w:rsidRPr="00774F86" w:rsidRDefault="0019248B" w:rsidP="0019248B">
      <w:pPr>
        <w:jc w:val="cente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19248B" w14:paraId="674E62B0"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35FADD1A" w14:textId="77777777" w:rsidR="0019248B" w:rsidRDefault="0019248B" w:rsidP="00571615">
            <w:pPr>
              <w:jc w:val="left"/>
              <w:rPr>
                <w:b/>
              </w:rPr>
            </w:pPr>
            <w:r>
              <w:rPr>
                <w:b/>
              </w:rPr>
              <w:t>GROUND LESSOR</w:t>
            </w:r>
          </w:p>
        </w:tc>
        <w:tc>
          <w:tcPr>
            <w:tcW w:w="6210" w:type="dxa"/>
            <w:tcBorders>
              <w:top w:val="single" w:sz="4" w:space="0" w:color="auto"/>
              <w:left w:val="single" w:sz="4" w:space="0" w:color="auto"/>
              <w:bottom w:val="single" w:sz="4" w:space="0" w:color="auto"/>
              <w:right w:val="single" w:sz="4" w:space="0" w:color="auto"/>
            </w:tcBorders>
          </w:tcPr>
          <w:p w14:paraId="74010CA1" w14:textId="77777777" w:rsidR="0019248B" w:rsidRDefault="0019248B" w:rsidP="00571615">
            <w:pPr>
              <w:rPr>
                <w:b/>
              </w:rPr>
            </w:pPr>
          </w:p>
        </w:tc>
      </w:tr>
      <w:tr w:rsidR="0019248B" w14:paraId="45923CB2"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452CF0D9" w14:textId="77777777" w:rsidR="0019248B" w:rsidRDefault="0019248B" w:rsidP="00571615">
            <w:pPr>
              <w:jc w:val="left"/>
              <w:rPr>
                <w:b/>
              </w:rPr>
            </w:pPr>
            <w:r>
              <w:rPr>
                <w:b/>
              </w:rPr>
              <w:t>GROUND LESSEE</w:t>
            </w:r>
          </w:p>
        </w:tc>
        <w:tc>
          <w:tcPr>
            <w:tcW w:w="6210" w:type="dxa"/>
            <w:tcBorders>
              <w:top w:val="single" w:sz="4" w:space="0" w:color="auto"/>
              <w:left w:val="single" w:sz="4" w:space="0" w:color="auto"/>
              <w:bottom w:val="single" w:sz="4" w:space="0" w:color="auto"/>
              <w:right w:val="single" w:sz="4" w:space="0" w:color="auto"/>
            </w:tcBorders>
          </w:tcPr>
          <w:p w14:paraId="682098C9" w14:textId="77777777" w:rsidR="0019248B" w:rsidRDefault="0019248B" w:rsidP="00571615">
            <w:pPr>
              <w:rPr>
                <w:b/>
              </w:rPr>
            </w:pPr>
          </w:p>
        </w:tc>
      </w:tr>
      <w:tr w:rsidR="0019248B" w14:paraId="06A18FF0"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162F652A" w14:textId="77777777" w:rsidR="0019248B" w:rsidRDefault="0019248B" w:rsidP="00571615">
            <w:pPr>
              <w:jc w:val="left"/>
              <w:rPr>
                <w:b/>
              </w:rPr>
            </w:pPr>
            <w:r>
              <w:rPr>
                <w:b/>
              </w:rPr>
              <w:t>LEASE DATE</w:t>
            </w:r>
          </w:p>
        </w:tc>
        <w:tc>
          <w:tcPr>
            <w:tcW w:w="6210" w:type="dxa"/>
            <w:tcBorders>
              <w:top w:val="single" w:sz="4" w:space="0" w:color="auto"/>
              <w:left w:val="single" w:sz="4" w:space="0" w:color="auto"/>
              <w:bottom w:val="single" w:sz="4" w:space="0" w:color="auto"/>
              <w:right w:val="single" w:sz="4" w:space="0" w:color="auto"/>
            </w:tcBorders>
          </w:tcPr>
          <w:p w14:paraId="3348B056" w14:textId="77777777" w:rsidR="0019248B" w:rsidRDefault="0019248B" w:rsidP="00571615">
            <w:pPr>
              <w:rPr>
                <w:b/>
              </w:rPr>
            </w:pPr>
          </w:p>
        </w:tc>
      </w:tr>
      <w:tr w:rsidR="0019248B" w14:paraId="67E72622"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7F1BA29B" w14:textId="77777777" w:rsidR="0019248B" w:rsidRDefault="0019248B" w:rsidP="00571615">
            <w:pPr>
              <w:jc w:val="left"/>
              <w:rPr>
                <w:b/>
              </w:rPr>
            </w:pPr>
            <w:r>
              <w:rPr>
                <w:b/>
              </w:rPr>
              <w:t>REVIEW DATE</w:t>
            </w:r>
          </w:p>
        </w:tc>
        <w:tc>
          <w:tcPr>
            <w:tcW w:w="6210" w:type="dxa"/>
            <w:tcBorders>
              <w:top w:val="single" w:sz="4" w:space="0" w:color="auto"/>
              <w:left w:val="single" w:sz="4" w:space="0" w:color="auto"/>
              <w:bottom w:val="single" w:sz="4" w:space="0" w:color="auto"/>
              <w:right w:val="single" w:sz="4" w:space="0" w:color="auto"/>
            </w:tcBorders>
          </w:tcPr>
          <w:p w14:paraId="623A0BE4" w14:textId="77777777" w:rsidR="0019248B" w:rsidRDefault="0019248B" w:rsidP="00571615">
            <w:pPr>
              <w:rPr>
                <w:b/>
              </w:rPr>
            </w:pPr>
          </w:p>
        </w:tc>
      </w:tr>
      <w:tr w:rsidR="0019248B" w14:paraId="4F9F0336" w14:textId="77777777" w:rsidTr="00571615">
        <w:tc>
          <w:tcPr>
            <w:tcW w:w="3325" w:type="dxa"/>
            <w:tcBorders>
              <w:top w:val="single" w:sz="4" w:space="0" w:color="auto"/>
              <w:left w:val="single" w:sz="4" w:space="0" w:color="auto"/>
              <w:bottom w:val="single" w:sz="4" w:space="0" w:color="auto"/>
              <w:right w:val="single" w:sz="4" w:space="0" w:color="auto"/>
            </w:tcBorders>
          </w:tcPr>
          <w:p w14:paraId="29AECD4E" w14:textId="77777777" w:rsidR="0019248B" w:rsidRDefault="0019248B" w:rsidP="00571615">
            <w:pPr>
              <w:jc w:val="left"/>
              <w:rPr>
                <w:b/>
              </w:rPr>
            </w:pPr>
            <w:r>
              <w:rPr>
                <w:b/>
              </w:rPr>
              <w:t>IF GROUND LESSOR AND GROUND LESSEE ARE AFFILIATED (INCLUDING ANY DIRECT OR INDIRECT OWNERS), DESCRIBE RELATIONSHIP</w:t>
            </w:r>
          </w:p>
        </w:tc>
        <w:tc>
          <w:tcPr>
            <w:tcW w:w="6210" w:type="dxa"/>
            <w:tcBorders>
              <w:top w:val="single" w:sz="4" w:space="0" w:color="auto"/>
              <w:left w:val="single" w:sz="4" w:space="0" w:color="auto"/>
              <w:bottom w:val="single" w:sz="4" w:space="0" w:color="auto"/>
              <w:right w:val="single" w:sz="4" w:space="0" w:color="auto"/>
            </w:tcBorders>
          </w:tcPr>
          <w:p w14:paraId="3206F2D7" w14:textId="77777777" w:rsidR="0019248B" w:rsidRDefault="0019248B" w:rsidP="00571615">
            <w:pPr>
              <w:rPr>
                <w:b/>
              </w:rPr>
            </w:pPr>
          </w:p>
        </w:tc>
      </w:tr>
    </w:tbl>
    <w:p w14:paraId="224B180B" w14:textId="77777777" w:rsidR="0019248B" w:rsidRDefault="0019248B" w:rsidP="0019248B">
      <w:pPr>
        <w:spacing w:after="240"/>
        <w:rPr>
          <w:b/>
          <w:caps/>
        </w:rPr>
      </w:pPr>
    </w:p>
    <w:tbl>
      <w:tblPr>
        <w:tblW w:w="9932" w:type="dxa"/>
        <w:tblInd w:w="5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1292"/>
        <w:gridCol w:w="1980"/>
        <w:gridCol w:w="3330"/>
        <w:gridCol w:w="3330"/>
      </w:tblGrid>
      <w:tr w:rsidR="0019248B" w14:paraId="7EA511DB" w14:textId="77777777" w:rsidTr="00571615">
        <w:trPr>
          <w:tblHeader/>
        </w:trPr>
        <w:tc>
          <w:tcPr>
            <w:tcW w:w="1292" w:type="dxa"/>
            <w:tcBorders>
              <w:top w:val="single" w:sz="2" w:space="0" w:color="auto"/>
              <w:left w:val="single" w:sz="2" w:space="0" w:color="auto"/>
              <w:bottom w:val="single" w:sz="8" w:space="0" w:color="000000"/>
              <w:right w:val="single" w:sz="8" w:space="0" w:color="000000"/>
            </w:tcBorders>
            <w:shd w:val="pct10" w:color="000000" w:fill="FFFFFF"/>
            <w:vAlign w:val="center"/>
            <w:hideMark/>
          </w:tcPr>
          <w:p w14:paraId="35E62747" w14:textId="77777777" w:rsidR="0019248B" w:rsidRDefault="0019248B" w:rsidP="00571615">
            <w:pPr>
              <w:spacing w:after="120"/>
              <w:rPr>
                <w:b/>
                <w:sz w:val="20"/>
              </w:rPr>
            </w:pPr>
            <w:r>
              <w:rPr>
                <w:b/>
                <w:sz w:val="20"/>
              </w:rPr>
              <w:t>ITEM</w:t>
            </w:r>
          </w:p>
        </w:tc>
        <w:tc>
          <w:tcPr>
            <w:tcW w:w="198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597D9AFE" w14:textId="77777777" w:rsidR="0019248B" w:rsidRDefault="0019248B" w:rsidP="00571615">
            <w:pPr>
              <w:spacing w:after="120"/>
              <w:jc w:val="left"/>
              <w:rPr>
                <w:b/>
                <w:sz w:val="20"/>
              </w:rPr>
            </w:pPr>
            <w:r>
              <w:rPr>
                <w:b/>
                <w:sz w:val="20"/>
              </w:rPr>
              <w:t>SUBJECT MATTER</w:t>
            </w:r>
          </w:p>
        </w:tc>
        <w:tc>
          <w:tcPr>
            <w:tcW w:w="333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42AFF810" w14:textId="77777777" w:rsidR="0019248B" w:rsidRDefault="0019248B" w:rsidP="00571615">
            <w:pPr>
              <w:spacing w:after="120"/>
              <w:rPr>
                <w:b/>
                <w:sz w:val="20"/>
              </w:rPr>
            </w:pPr>
            <w:r>
              <w:rPr>
                <w:b/>
                <w:sz w:val="20"/>
              </w:rPr>
              <w:t>REQUIREMENTS</w:t>
            </w:r>
          </w:p>
        </w:tc>
        <w:tc>
          <w:tcPr>
            <w:tcW w:w="3330" w:type="dxa"/>
            <w:tcBorders>
              <w:top w:val="single" w:sz="2" w:space="0" w:color="auto"/>
              <w:left w:val="single" w:sz="8" w:space="0" w:color="000000"/>
              <w:bottom w:val="single" w:sz="8" w:space="0" w:color="000000"/>
              <w:right w:val="single" w:sz="2" w:space="0" w:color="auto"/>
            </w:tcBorders>
            <w:shd w:val="pct10" w:color="000000" w:fill="FFFFFF"/>
            <w:vAlign w:val="center"/>
            <w:hideMark/>
          </w:tcPr>
          <w:p w14:paraId="73CC45F7" w14:textId="77777777" w:rsidR="0019248B" w:rsidRDefault="0019248B" w:rsidP="00571615">
            <w:pPr>
              <w:spacing w:before="120" w:after="120"/>
              <w:jc w:val="left"/>
              <w:rPr>
                <w:b/>
                <w:sz w:val="20"/>
              </w:rPr>
            </w:pPr>
            <w:r>
              <w:rPr>
                <w:b/>
                <w:sz w:val="20"/>
              </w:rPr>
              <w:t>REVIEWER ANALYSIS</w:t>
            </w:r>
            <w:r>
              <w:rPr>
                <w:b/>
                <w:sz w:val="20"/>
              </w:rPr>
              <w:br/>
              <w:t>(include Ground Lease sections as appropriate)</w:t>
            </w:r>
          </w:p>
        </w:tc>
      </w:tr>
      <w:tr w:rsidR="0019248B" w14:paraId="392F220B" w14:textId="77777777" w:rsidTr="00571615">
        <w:tc>
          <w:tcPr>
            <w:tcW w:w="1292" w:type="dxa"/>
            <w:tcBorders>
              <w:top w:val="single" w:sz="8" w:space="0" w:color="000000"/>
              <w:left w:val="single" w:sz="2" w:space="0" w:color="auto"/>
              <w:right w:val="single" w:sz="8" w:space="0" w:color="000000"/>
            </w:tcBorders>
          </w:tcPr>
          <w:p w14:paraId="1DAB0BF3"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45F639D3" w14:textId="77777777" w:rsidR="0019248B" w:rsidRDefault="0019248B" w:rsidP="00571615">
            <w:pPr>
              <w:spacing w:after="120"/>
              <w:jc w:val="left"/>
              <w:rPr>
                <w:b/>
                <w:sz w:val="20"/>
              </w:rPr>
            </w:pPr>
            <w:r>
              <w:rPr>
                <w:b/>
                <w:sz w:val="20"/>
              </w:rPr>
              <w:t>Recorded</w:t>
            </w:r>
          </w:p>
        </w:tc>
        <w:tc>
          <w:tcPr>
            <w:tcW w:w="3330" w:type="dxa"/>
            <w:tcBorders>
              <w:top w:val="single" w:sz="8" w:space="0" w:color="000000"/>
              <w:left w:val="single" w:sz="8" w:space="0" w:color="000000"/>
              <w:right w:val="single" w:sz="8" w:space="0" w:color="000000"/>
            </w:tcBorders>
            <w:hideMark/>
          </w:tcPr>
          <w:p w14:paraId="1215379C" w14:textId="77777777" w:rsidR="0019248B" w:rsidRDefault="0019248B" w:rsidP="00571615">
            <w:pPr>
              <w:spacing w:after="120"/>
              <w:rPr>
                <w:sz w:val="20"/>
              </w:rPr>
            </w:pPr>
            <w:r>
              <w:rPr>
                <w:sz w:val="20"/>
              </w:rPr>
              <w:t xml:space="preserve">Ground Lease (or a memorandum of Ground Lease) must be recorded </w:t>
            </w:r>
            <w:r>
              <w:rPr>
                <w:sz w:val="20"/>
              </w:rPr>
              <w:lastRenderedPageBreak/>
              <w:t>among the official land records of the applicable jurisdiction.</w:t>
            </w:r>
          </w:p>
        </w:tc>
        <w:tc>
          <w:tcPr>
            <w:tcW w:w="3330" w:type="dxa"/>
            <w:tcBorders>
              <w:top w:val="single" w:sz="8" w:space="0" w:color="000000"/>
              <w:left w:val="single" w:sz="8" w:space="0" w:color="000000"/>
              <w:right w:val="single" w:sz="2" w:space="0" w:color="auto"/>
            </w:tcBorders>
          </w:tcPr>
          <w:p w14:paraId="53031AFC" w14:textId="77777777" w:rsidR="0019248B" w:rsidRDefault="0019248B" w:rsidP="00571615">
            <w:pPr>
              <w:spacing w:before="120" w:after="120"/>
              <w:rPr>
                <w:sz w:val="20"/>
              </w:rPr>
            </w:pPr>
          </w:p>
        </w:tc>
      </w:tr>
      <w:tr w:rsidR="0019248B" w14:paraId="60FAFB5C" w14:textId="77777777" w:rsidTr="00571615">
        <w:tc>
          <w:tcPr>
            <w:tcW w:w="1292" w:type="dxa"/>
            <w:tcBorders>
              <w:top w:val="single" w:sz="8" w:space="0" w:color="000000"/>
              <w:left w:val="single" w:sz="2" w:space="0" w:color="auto"/>
              <w:right w:val="single" w:sz="8" w:space="0" w:color="000000"/>
            </w:tcBorders>
          </w:tcPr>
          <w:p w14:paraId="6039DA6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67DB762" w14:textId="77777777" w:rsidR="0019248B" w:rsidRDefault="0019248B" w:rsidP="00571615">
            <w:pPr>
              <w:spacing w:after="120"/>
              <w:jc w:val="left"/>
              <w:rPr>
                <w:sz w:val="20"/>
              </w:rPr>
            </w:pPr>
            <w:r>
              <w:rPr>
                <w:b/>
                <w:sz w:val="20"/>
              </w:rPr>
              <w:t>Full Force and Effect</w:t>
            </w:r>
          </w:p>
        </w:tc>
        <w:tc>
          <w:tcPr>
            <w:tcW w:w="3330" w:type="dxa"/>
            <w:tcBorders>
              <w:top w:val="single" w:sz="8" w:space="0" w:color="000000"/>
              <w:left w:val="single" w:sz="8" w:space="0" w:color="000000"/>
              <w:right w:val="single" w:sz="8" w:space="0" w:color="000000"/>
            </w:tcBorders>
            <w:hideMark/>
          </w:tcPr>
          <w:p w14:paraId="3FF0E306" w14:textId="77777777" w:rsidR="0019248B" w:rsidRDefault="0019248B" w:rsidP="00571615">
            <w:pPr>
              <w:spacing w:after="120"/>
              <w:rPr>
                <w:sz w:val="20"/>
              </w:rPr>
            </w:pPr>
            <w:r>
              <w:rPr>
                <w:sz w:val="20"/>
              </w:rPr>
              <w:t>The Ground Lease must be in full force and effect.</w:t>
            </w:r>
          </w:p>
        </w:tc>
        <w:tc>
          <w:tcPr>
            <w:tcW w:w="3330" w:type="dxa"/>
            <w:tcBorders>
              <w:top w:val="single" w:sz="8" w:space="0" w:color="000000"/>
              <w:left w:val="single" w:sz="8" w:space="0" w:color="000000"/>
              <w:right w:val="single" w:sz="2" w:space="0" w:color="auto"/>
            </w:tcBorders>
          </w:tcPr>
          <w:p w14:paraId="17422E68" w14:textId="77777777" w:rsidR="0019248B" w:rsidRDefault="0019248B" w:rsidP="00571615">
            <w:pPr>
              <w:spacing w:before="120" w:after="120"/>
              <w:rPr>
                <w:sz w:val="20"/>
              </w:rPr>
            </w:pPr>
          </w:p>
        </w:tc>
      </w:tr>
      <w:tr w:rsidR="0019248B" w14:paraId="054525FA" w14:textId="77777777" w:rsidTr="00571615">
        <w:tc>
          <w:tcPr>
            <w:tcW w:w="1292" w:type="dxa"/>
            <w:tcBorders>
              <w:top w:val="single" w:sz="8" w:space="0" w:color="000000"/>
              <w:left w:val="single" w:sz="2" w:space="0" w:color="auto"/>
              <w:right w:val="single" w:sz="8" w:space="0" w:color="000000"/>
            </w:tcBorders>
          </w:tcPr>
          <w:p w14:paraId="1789DF60"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F4B2F62" w14:textId="77777777" w:rsidR="0019248B" w:rsidRDefault="0019248B" w:rsidP="00571615">
            <w:pPr>
              <w:spacing w:after="120"/>
              <w:jc w:val="left"/>
              <w:rPr>
                <w:b/>
                <w:sz w:val="20"/>
              </w:rPr>
            </w:pPr>
            <w:r>
              <w:rPr>
                <w:b/>
                <w:sz w:val="20"/>
              </w:rPr>
              <w:t>Term of Lease</w:t>
            </w:r>
          </w:p>
        </w:tc>
        <w:tc>
          <w:tcPr>
            <w:tcW w:w="3330" w:type="dxa"/>
            <w:tcBorders>
              <w:top w:val="single" w:sz="8" w:space="0" w:color="000000"/>
              <w:left w:val="single" w:sz="8" w:space="0" w:color="000000"/>
              <w:right w:val="single" w:sz="8" w:space="0" w:color="000000"/>
            </w:tcBorders>
            <w:hideMark/>
          </w:tcPr>
          <w:p w14:paraId="22657D59" w14:textId="77777777" w:rsidR="0019248B" w:rsidRDefault="0019248B" w:rsidP="00571615">
            <w:pPr>
              <w:spacing w:after="120"/>
              <w:rPr>
                <w:sz w:val="20"/>
              </w:rPr>
            </w:pPr>
            <w:r>
              <w:rPr>
                <w:sz w:val="20"/>
              </w:rPr>
              <w:t>The term of the Ground Lease must extend at least 30 years beyond the term of the Mortgage Loan.</w:t>
            </w:r>
          </w:p>
        </w:tc>
        <w:tc>
          <w:tcPr>
            <w:tcW w:w="3330" w:type="dxa"/>
            <w:tcBorders>
              <w:top w:val="single" w:sz="8" w:space="0" w:color="000000"/>
              <w:left w:val="single" w:sz="8" w:space="0" w:color="000000"/>
              <w:right w:val="single" w:sz="2" w:space="0" w:color="auto"/>
            </w:tcBorders>
          </w:tcPr>
          <w:p w14:paraId="2A868265" w14:textId="77777777" w:rsidR="0019248B" w:rsidRDefault="0019248B" w:rsidP="00571615">
            <w:pPr>
              <w:spacing w:before="120" w:after="120"/>
              <w:rPr>
                <w:sz w:val="20"/>
              </w:rPr>
            </w:pPr>
          </w:p>
        </w:tc>
      </w:tr>
      <w:tr w:rsidR="0019248B" w14:paraId="2AA38EBD" w14:textId="77777777" w:rsidTr="00571615">
        <w:tc>
          <w:tcPr>
            <w:tcW w:w="1292" w:type="dxa"/>
            <w:tcBorders>
              <w:top w:val="single" w:sz="8" w:space="0" w:color="000000"/>
              <w:left w:val="single" w:sz="2" w:space="0" w:color="auto"/>
              <w:right w:val="single" w:sz="8" w:space="0" w:color="000000"/>
            </w:tcBorders>
          </w:tcPr>
          <w:p w14:paraId="48CE8DA9"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371D5BD2" w14:textId="77777777" w:rsidR="0019248B" w:rsidRDefault="0019248B" w:rsidP="00571615">
            <w:pPr>
              <w:spacing w:after="120"/>
              <w:jc w:val="left"/>
              <w:rPr>
                <w:b/>
                <w:sz w:val="20"/>
              </w:rPr>
            </w:pPr>
            <w:r>
              <w:rPr>
                <w:b/>
                <w:sz w:val="20"/>
              </w:rPr>
              <w:t>Non-Merger Clause</w:t>
            </w:r>
          </w:p>
        </w:tc>
        <w:tc>
          <w:tcPr>
            <w:tcW w:w="3330" w:type="dxa"/>
            <w:tcBorders>
              <w:top w:val="single" w:sz="8" w:space="0" w:color="000000"/>
              <w:left w:val="single" w:sz="8" w:space="0" w:color="000000"/>
              <w:right w:val="single" w:sz="8" w:space="0" w:color="000000"/>
            </w:tcBorders>
            <w:hideMark/>
          </w:tcPr>
          <w:p w14:paraId="7C584F71" w14:textId="77777777" w:rsidR="0019248B" w:rsidRDefault="0019248B" w:rsidP="00571615">
            <w:pPr>
              <w:keepNext/>
              <w:spacing w:after="120"/>
              <w:rPr>
                <w:sz w:val="20"/>
              </w:rPr>
            </w:pPr>
            <w:r>
              <w:rPr>
                <w:sz w:val="20"/>
              </w:rPr>
              <w:t>The Ground Lease must contain a non-merger clause providing that the Ground Lessee’s leasehold estate shall not merge into the Ground Lessor’s fee estate, and the Ground Lease shall not terminate as to the Leasehold Mortgagee, because of conveyance of the Ground Lessee’s leasehold interest to the Ground Lessor or conveyance of the Ground Lessor’s interest to the Ground Lessee.</w:t>
            </w:r>
          </w:p>
        </w:tc>
        <w:tc>
          <w:tcPr>
            <w:tcW w:w="3330" w:type="dxa"/>
            <w:tcBorders>
              <w:top w:val="single" w:sz="8" w:space="0" w:color="000000"/>
              <w:left w:val="single" w:sz="8" w:space="0" w:color="000000"/>
              <w:right w:val="single" w:sz="2" w:space="0" w:color="auto"/>
            </w:tcBorders>
          </w:tcPr>
          <w:p w14:paraId="62EC9F2E" w14:textId="77777777" w:rsidR="0019248B" w:rsidRDefault="0019248B" w:rsidP="00571615">
            <w:pPr>
              <w:spacing w:before="120" w:after="120"/>
              <w:rPr>
                <w:sz w:val="20"/>
              </w:rPr>
            </w:pPr>
          </w:p>
        </w:tc>
      </w:tr>
      <w:tr w:rsidR="0019248B" w14:paraId="6D9E0672" w14:textId="77777777" w:rsidTr="00571615">
        <w:tc>
          <w:tcPr>
            <w:tcW w:w="1292" w:type="dxa"/>
            <w:tcBorders>
              <w:top w:val="single" w:sz="8" w:space="0" w:color="000000"/>
              <w:left w:val="single" w:sz="2" w:space="0" w:color="auto"/>
              <w:right w:val="single" w:sz="8" w:space="0" w:color="000000"/>
            </w:tcBorders>
          </w:tcPr>
          <w:p w14:paraId="5FA7B922"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40762A56" w14:textId="77777777" w:rsidR="0019248B" w:rsidRDefault="0019248B" w:rsidP="00571615">
            <w:pPr>
              <w:spacing w:after="120"/>
              <w:jc w:val="left"/>
              <w:rPr>
                <w:b/>
                <w:sz w:val="20"/>
              </w:rPr>
            </w:pPr>
            <w:r>
              <w:rPr>
                <w:b/>
                <w:sz w:val="20"/>
              </w:rPr>
              <w:t>Assignability</w:t>
            </w:r>
          </w:p>
        </w:tc>
        <w:tc>
          <w:tcPr>
            <w:tcW w:w="3330" w:type="dxa"/>
            <w:tcBorders>
              <w:top w:val="single" w:sz="8" w:space="0" w:color="000000"/>
              <w:left w:val="single" w:sz="8" w:space="0" w:color="000000"/>
              <w:right w:val="single" w:sz="8" w:space="0" w:color="000000"/>
            </w:tcBorders>
          </w:tcPr>
          <w:p w14:paraId="10430F0B" w14:textId="3F439679" w:rsidR="0019248B" w:rsidRDefault="0019248B" w:rsidP="00571615">
            <w:pPr>
              <w:spacing w:after="120"/>
              <w:rPr>
                <w:sz w:val="20"/>
              </w:rPr>
            </w:pPr>
            <w:r>
              <w:rPr>
                <w:sz w:val="20"/>
              </w:rPr>
              <w:t>The Ground Lease must provide that</w:t>
            </w:r>
            <w:r w:rsidR="00EC3D1E">
              <w:rPr>
                <w:sz w:val="20"/>
              </w:rPr>
              <w:t>:</w:t>
            </w:r>
          </w:p>
          <w:p w14:paraId="0B027014" w14:textId="7669468D" w:rsidR="0019248B" w:rsidRPr="00D204E5" w:rsidRDefault="0019248B" w:rsidP="00D204E5">
            <w:pPr>
              <w:pStyle w:val="ListParagraph"/>
              <w:numPr>
                <w:ilvl w:val="0"/>
                <w:numId w:val="6"/>
              </w:numPr>
              <w:spacing w:after="120"/>
              <w:ind w:left="331" w:hanging="331"/>
              <w:contextualSpacing w:val="0"/>
              <w:rPr>
                <w:sz w:val="20"/>
              </w:rPr>
            </w:pPr>
            <w:r>
              <w:rPr>
                <w:sz w:val="20"/>
              </w:rPr>
              <w:t>b</w:t>
            </w:r>
            <w:r w:rsidRPr="00B06E69">
              <w:rPr>
                <w:sz w:val="20"/>
              </w:rPr>
              <w:t xml:space="preserve">oth the Ground Lessee’s leasehold estate and the Ground Lessee’s option to extend or purchase the fee interest in the land (if any) </w:t>
            </w:r>
            <w:r>
              <w:rPr>
                <w:sz w:val="20"/>
              </w:rPr>
              <w:t>are</w:t>
            </w:r>
            <w:r w:rsidRPr="00B06E69">
              <w:rPr>
                <w:sz w:val="20"/>
              </w:rPr>
              <w:t xml:space="preserve"> assignable or transferable without the consent of </w:t>
            </w:r>
            <w:r>
              <w:rPr>
                <w:sz w:val="20"/>
              </w:rPr>
              <w:t>the Ground Lessor</w:t>
            </w:r>
            <w:r w:rsidR="00446F59">
              <w:rPr>
                <w:sz w:val="20"/>
              </w:rPr>
              <w:t>;</w:t>
            </w:r>
            <w:r>
              <w:rPr>
                <w:sz w:val="20"/>
              </w:rPr>
              <w:t xml:space="preserve"> or</w:t>
            </w:r>
          </w:p>
          <w:p w14:paraId="77925A59" w14:textId="77777777" w:rsidR="0019248B" w:rsidRPr="00B06E69" w:rsidRDefault="0019248B" w:rsidP="0019248B">
            <w:pPr>
              <w:pStyle w:val="ListParagraph"/>
              <w:numPr>
                <w:ilvl w:val="0"/>
                <w:numId w:val="6"/>
              </w:numPr>
              <w:spacing w:after="120"/>
              <w:ind w:left="337" w:hanging="337"/>
              <w:rPr>
                <w:sz w:val="20"/>
              </w:rPr>
            </w:pPr>
            <w:r>
              <w:rPr>
                <w:sz w:val="20"/>
              </w:rPr>
              <w:t>i</w:t>
            </w:r>
            <w:r w:rsidRPr="00B06E69">
              <w:rPr>
                <w:sz w:val="20"/>
              </w:rPr>
              <w:t xml:space="preserve">f assignment or transfer is limited, </w:t>
            </w:r>
            <w:r>
              <w:rPr>
                <w:sz w:val="20"/>
              </w:rPr>
              <w:t xml:space="preserve">the </w:t>
            </w:r>
            <w:r w:rsidRPr="00B06E69">
              <w:rPr>
                <w:sz w:val="20"/>
              </w:rPr>
              <w:t xml:space="preserve">Ground Lease must permit assignment or transfer to the Leasehold Mortgagee and permit assignment or transfer by the Leasehold Mortgagee (after a foreclosure or any other exercise by Leasehold Mortgagee of rights and remedies, whether under the Mortgage Loan or under applicable law, as a result of which Leasehold Mortgagee or its designee or nominee becomes owner of the leasehold estate, or delivery of a deed or other conveyance of Ground Lessee’s interest in lieu of any of the foregoing) to a purchaser at a foreclosure sale or otherwise (other than the Leasehold </w:t>
            </w:r>
            <w:r w:rsidRPr="00B06E69">
              <w:rPr>
                <w:sz w:val="20"/>
              </w:rPr>
              <w:lastRenderedPageBreak/>
              <w:t>Mortgagee) without the Ground Lessor’s consent.</w:t>
            </w:r>
          </w:p>
        </w:tc>
        <w:tc>
          <w:tcPr>
            <w:tcW w:w="3330" w:type="dxa"/>
            <w:tcBorders>
              <w:top w:val="single" w:sz="8" w:space="0" w:color="000000"/>
              <w:left w:val="single" w:sz="8" w:space="0" w:color="000000"/>
              <w:right w:val="single" w:sz="2" w:space="0" w:color="auto"/>
            </w:tcBorders>
          </w:tcPr>
          <w:p w14:paraId="44A0F32E" w14:textId="77777777" w:rsidR="0019248B" w:rsidRDefault="0019248B" w:rsidP="00571615">
            <w:pPr>
              <w:spacing w:before="120" w:after="120"/>
              <w:rPr>
                <w:sz w:val="20"/>
              </w:rPr>
            </w:pPr>
          </w:p>
        </w:tc>
      </w:tr>
      <w:tr w:rsidR="0019248B" w14:paraId="62F467D2" w14:textId="77777777" w:rsidTr="00571615">
        <w:tc>
          <w:tcPr>
            <w:tcW w:w="1292" w:type="dxa"/>
            <w:tcBorders>
              <w:top w:val="single" w:sz="8" w:space="0" w:color="000000"/>
              <w:left w:val="single" w:sz="2" w:space="0" w:color="auto"/>
              <w:right w:val="single" w:sz="8" w:space="0" w:color="000000"/>
            </w:tcBorders>
          </w:tcPr>
          <w:p w14:paraId="626A4257"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17FF86C" w14:textId="77777777" w:rsidR="0019248B" w:rsidRDefault="0019248B" w:rsidP="00571615">
            <w:pPr>
              <w:spacing w:after="120"/>
              <w:jc w:val="left"/>
              <w:rPr>
                <w:sz w:val="20"/>
              </w:rPr>
            </w:pPr>
            <w:r>
              <w:rPr>
                <w:b/>
                <w:sz w:val="20"/>
              </w:rPr>
              <w:t>Leasehold Mortgage Authorized</w:t>
            </w:r>
          </w:p>
        </w:tc>
        <w:tc>
          <w:tcPr>
            <w:tcW w:w="3330" w:type="dxa"/>
            <w:tcBorders>
              <w:top w:val="single" w:sz="8" w:space="0" w:color="000000"/>
              <w:left w:val="single" w:sz="8" w:space="0" w:color="000000"/>
              <w:right w:val="single" w:sz="8" w:space="0" w:color="000000"/>
            </w:tcBorders>
            <w:hideMark/>
          </w:tcPr>
          <w:p w14:paraId="456A0187" w14:textId="77777777" w:rsidR="0019248B" w:rsidRDefault="0019248B" w:rsidP="00571615">
            <w:pPr>
              <w:spacing w:after="120"/>
              <w:rPr>
                <w:sz w:val="20"/>
              </w:rPr>
            </w:pPr>
            <w:r>
              <w:rPr>
                <w:sz w:val="20"/>
              </w:rPr>
              <w:t xml:space="preserve">The Ground Lease must authorize a mortgage </w:t>
            </w:r>
            <w:proofErr w:type="gramStart"/>
            <w:r>
              <w:rPr>
                <w:sz w:val="20"/>
              </w:rPr>
              <w:t>lien</w:t>
            </w:r>
            <w:proofErr w:type="gramEnd"/>
            <w:r>
              <w:rPr>
                <w:sz w:val="20"/>
              </w:rPr>
              <w:t xml:space="preserve"> and Fannie Mae must qualify as a permitted or authorized mortgagee.  Any conditions precedent that must be satisfied for Lender and Fannie Mae to benefit from lender protections under the Ground Lease must be satisfied.</w:t>
            </w:r>
          </w:p>
        </w:tc>
        <w:tc>
          <w:tcPr>
            <w:tcW w:w="3330" w:type="dxa"/>
            <w:tcBorders>
              <w:top w:val="single" w:sz="8" w:space="0" w:color="000000"/>
              <w:left w:val="single" w:sz="8" w:space="0" w:color="000000"/>
              <w:right w:val="single" w:sz="2" w:space="0" w:color="auto"/>
            </w:tcBorders>
          </w:tcPr>
          <w:p w14:paraId="0EC97E06" w14:textId="77777777" w:rsidR="0019248B" w:rsidRDefault="0019248B" w:rsidP="00571615">
            <w:pPr>
              <w:spacing w:before="120" w:after="120"/>
              <w:rPr>
                <w:sz w:val="20"/>
              </w:rPr>
            </w:pPr>
          </w:p>
        </w:tc>
      </w:tr>
      <w:tr w:rsidR="0019248B" w14:paraId="6F926056" w14:textId="77777777" w:rsidTr="00571615">
        <w:tc>
          <w:tcPr>
            <w:tcW w:w="1292" w:type="dxa"/>
            <w:tcBorders>
              <w:top w:val="single" w:sz="8" w:space="0" w:color="000000"/>
              <w:left w:val="single" w:sz="2" w:space="0" w:color="auto"/>
              <w:right w:val="single" w:sz="8" w:space="0" w:color="000000"/>
            </w:tcBorders>
          </w:tcPr>
          <w:p w14:paraId="553FD39B"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0CA5C5DE" w14:textId="77777777" w:rsidR="0019248B" w:rsidRDefault="0019248B" w:rsidP="00571615">
            <w:pPr>
              <w:spacing w:after="120"/>
              <w:jc w:val="left"/>
              <w:rPr>
                <w:sz w:val="20"/>
              </w:rPr>
            </w:pPr>
            <w:r>
              <w:rPr>
                <w:b/>
                <w:sz w:val="20"/>
              </w:rPr>
              <w:t xml:space="preserve">Notice and </w:t>
            </w:r>
            <w:proofErr w:type="gramStart"/>
            <w:r>
              <w:rPr>
                <w:b/>
                <w:sz w:val="20"/>
              </w:rPr>
              <w:t>Cure</w:t>
            </w:r>
            <w:bookmarkStart w:id="0" w:name="YiFSelection"/>
            <w:bookmarkEnd w:id="0"/>
            <w:proofErr w:type="gramEnd"/>
          </w:p>
        </w:tc>
        <w:tc>
          <w:tcPr>
            <w:tcW w:w="3330" w:type="dxa"/>
            <w:tcBorders>
              <w:top w:val="single" w:sz="8" w:space="0" w:color="000000"/>
              <w:left w:val="single" w:sz="8" w:space="0" w:color="000000"/>
              <w:right w:val="single" w:sz="8" w:space="0" w:color="000000"/>
            </w:tcBorders>
            <w:hideMark/>
          </w:tcPr>
          <w:p w14:paraId="4EA47FFB" w14:textId="77777777" w:rsidR="0019248B" w:rsidRDefault="0019248B" w:rsidP="0019248B">
            <w:pPr>
              <w:spacing w:after="120"/>
              <w:rPr>
                <w:sz w:val="20"/>
              </w:rPr>
            </w:pPr>
            <w:r>
              <w:rPr>
                <w:sz w:val="20"/>
              </w:rPr>
              <w:t xml:space="preserve">The Ground Lease must provide for written notice of default from the Ground Lessor to the Leasehold Mortgagee and a reasonable time (in addition to the time given to the Ground Lessee) and opportunity for the Leasehold Mortgagee to cure any default under the Ground Lease; provided, however, </w:t>
            </w:r>
            <w:r w:rsidRPr="003F7562">
              <w:rPr>
                <w:sz w:val="20"/>
              </w:rPr>
              <w:t xml:space="preserve">that with respect to any default of Ground Lessee under the </w:t>
            </w:r>
            <w:r>
              <w:rPr>
                <w:sz w:val="20"/>
              </w:rPr>
              <w:t xml:space="preserve">Ground </w:t>
            </w:r>
            <w:r w:rsidRPr="003F7562">
              <w:rPr>
                <w:sz w:val="20"/>
              </w:rPr>
              <w:t xml:space="preserve">Lease which cannot be remedied within such time frame, </w:t>
            </w:r>
            <w:r>
              <w:rPr>
                <w:sz w:val="20"/>
              </w:rPr>
              <w:t xml:space="preserve">the Ground Lease shall provide Leasehold Mortgagee such additional time as reasonably necessary to cure such default </w:t>
            </w:r>
            <w:r w:rsidRPr="003F7562">
              <w:rPr>
                <w:sz w:val="20"/>
              </w:rPr>
              <w:t xml:space="preserve">if </w:t>
            </w:r>
            <w:r>
              <w:rPr>
                <w:sz w:val="20"/>
              </w:rPr>
              <w:t>Leasehold Mortgagee</w:t>
            </w:r>
            <w:r w:rsidRPr="003F7562">
              <w:rPr>
                <w:sz w:val="20"/>
              </w:rPr>
              <w:t xml:space="preserve"> commences to cure such default within such time and thereafter diligently proceeds with such efforts and pursues the same to completion</w:t>
            </w:r>
            <w:r>
              <w:rPr>
                <w:sz w:val="20"/>
              </w:rPr>
              <w:t>.  With respect to any default that cannot be remedied without Leasehold Mortgagee obtaining possession, the Ground Lease must provide a sufficient period of time for the Leasehold Mortgagee to obtain possession before any applicable cure period commences, provided Leasehold Mortgagee cures any other defaults which reasonably can be cured without possession and provided that Leasehold Mortgagee commences to exercise any rights to obtain possession or to effect foreclosure, and diligently pursues the exercise of such rights thereafter.</w:t>
            </w:r>
          </w:p>
        </w:tc>
        <w:tc>
          <w:tcPr>
            <w:tcW w:w="3330" w:type="dxa"/>
            <w:tcBorders>
              <w:top w:val="single" w:sz="8" w:space="0" w:color="000000"/>
              <w:left w:val="single" w:sz="8" w:space="0" w:color="000000"/>
              <w:right w:val="single" w:sz="2" w:space="0" w:color="auto"/>
            </w:tcBorders>
          </w:tcPr>
          <w:p w14:paraId="17CEB214" w14:textId="77777777" w:rsidR="0019248B" w:rsidRDefault="0019248B" w:rsidP="00571615">
            <w:pPr>
              <w:spacing w:before="120" w:after="120"/>
              <w:rPr>
                <w:sz w:val="20"/>
              </w:rPr>
            </w:pPr>
          </w:p>
        </w:tc>
      </w:tr>
      <w:tr w:rsidR="0019248B" w14:paraId="1C4D5D1E" w14:textId="77777777" w:rsidTr="00571615">
        <w:tc>
          <w:tcPr>
            <w:tcW w:w="1292" w:type="dxa"/>
            <w:tcBorders>
              <w:top w:val="single" w:sz="8" w:space="0" w:color="000000"/>
              <w:left w:val="single" w:sz="2" w:space="0" w:color="auto"/>
              <w:right w:val="single" w:sz="8" w:space="0" w:color="000000"/>
            </w:tcBorders>
          </w:tcPr>
          <w:p w14:paraId="5D86B07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32D7EF5" w14:textId="77777777" w:rsidR="0019248B" w:rsidRDefault="0019248B" w:rsidP="00571615">
            <w:pPr>
              <w:spacing w:after="120"/>
              <w:jc w:val="left"/>
              <w:rPr>
                <w:b/>
                <w:sz w:val="20"/>
              </w:rPr>
            </w:pPr>
            <w:r>
              <w:rPr>
                <w:b/>
                <w:sz w:val="20"/>
              </w:rPr>
              <w:t>Inability to Cure Default; New Lease</w:t>
            </w:r>
          </w:p>
        </w:tc>
        <w:tc>
          <w:tcPr>
            <w:tcW w:w="3330" w:type="dxa"/>
            <w:tcBorders>
              <w:top w:val="single" w:sz="8" w:space="0" w:color="000000"/>
              <w:left w:val="single" w:sz="8" w:space="0" w:color="000000"/>
              <w:right w:val="single" w:sz="8" w:space="0" w:color="000000"/>
            </w:tcBorders>
          </w:tcPr>
          <w:p w14:paraId="536C44C9" w14:textId="16F13A57" w:rsidR="0019248B" w:rsidRDefault="0019248B" w:rsidP="00571615">
            <w:pPr>
              <w:spacing w:after="120"/>
              <w:rPr>
                <w:sz w:val="20"/>
              </w:rPr>
            </w:pPr>
            <w:r>
              <w:rPr>
                <w:sz w:val="20"/>
              </w:rPr>
              <w:t>The Ground Lease must contain</w:t>
            </w:r>
            <w:r w:rsidR="00EC3D1E">
              <w:rPr>
                <w:sz w:val="20"/>
              </w:rPr>
              <w:t>:</w:t>
            </w:r>
          </w:p>
          <w:p w14:paraId="7B97AD4E" w14:textId="4C786141" w:rsidR="0019248B" w:rsidRDefault="0019248B" w:rsidP="0019248B">
            <w:pPr>
              <w:numPr>
                <w:ilvl w:val="1"/>
                <w:numId w:val="3"/>
              </w:numPr>
              <w:spacing w:after="120"/>
              <w:ind w:left="360" w:hanging="360"/>
              <w:rPr>
                <w:sz w:val="20"/>
              </w:rPr>
            </w:pPr>
            <w:r>
              <w:rPr>
                <w:sz w:val="20"/>
              </w:rPr>
              <w:lastRenderedPageBreak/>
              <w:t xml:space="preserve">a provision that prohibits the Ground Lessor from terminating the Ground Lease based on defaults personal to Borrower (such as a voluntary bankruptcy filing) or based on defaults that Lender </w:t>
            </w:r>
            <w:proofErr w:type="gramStart"/>
            <w:r>
              <w:rPr>
                <w:sz w:val="20"/>
              </w:rPr>
              <w:t>is not able to</w:t>
            </w:r>
            <w:proofErr w:type="gramEnd"/>
            <w:r>
              <w:rPr>
                <w:sz w:val="20"/>
              </w:rPr>
              <w:t xml:space="preserve"> cure</w:t>
            </w:r>
            <w:r w:rsidR="00446F59">
              <w:rPr>
                <w:sz w:val="20"/>
              </w:rPr>
              <w:t>;</w:t>
            </w:r>
            <w:r>
              <w:rPr>
                <w:sz w:val="20"/>
              </w:rPr>
              <w:t xml:space="preserve"> or</w:t>
            </w:r>
          </w:p>
          <w:p w14:paraId="04E084D2" w14:textId="77777777" w:rsidR="0019248B" w:rsidRDefault="0019248B" w:rsidP="0019248B">
            <w:pPr>
              <w:numPr>
                <w:ilvl w:val="1"/>
                <w:numId w:val="3"/>
              </w:numPr>
              <w:spacing w:after="120"/>
              <w:ind w:left="360" w:hanging="360"/>
              <w:rPr>
                <w:sz w:val="20"/>
              </w:rPr>
            </w:pPr>
            <w:r>
              <w:rPr>
                <w:sz w:val="20"/>
              </w:rPr>
              <w:t xml:space="preserve">a provision that requires Ground Lessor to </w:t>
            </w:r>
            <w:proofErr w:type="gramStart"/>
            <w:r>
              <w:rPr>
                <w:sz w:val="20"/>
              </w:rPr>
              <w:t>enter into</w:t>
            </w:r>
            <w:proofErr w:type="gramEnd"/>
            <w:r>
              <w:rPr>
                <w:sz w:val="20"/>
              </w:rPr>
              <w:t xml:space="preserve"> a new Ground Lease with Lender on the same terms as the original Ground Lease if the Ground Lease is terminated for any reason or is rejected in bankruptcy.</w:t>
            </w:r>
          </w:p>
        </w:tc>
        <w:tc>
          <w:tcPr>
            <w:tcW w:w="3330" w:type="dxa"/>
            <w:tcBorders>
              <w:top w:val="single" w:sz="8" w:space="0" w:color="000000"/>
              <w:left w:val="single" w:sz="8" w:space="0" w:color="000000"/>
              <w:right w:val="single" w:sz="2" w:space="0" w:color="auto"/>
            </w:tcBorders>
          </w:tcPr>
          <w:p w14:paraId="34542CF4" w14:textId="77777777" w:rsidR="0019248B" w:rsidRDefault="0019248B" w:rsidP="00571615">
            <w:pPr>
              <w:spacing w:before="120" w:after="120"/>
              <w:rPr>
                <w:sz w:val="20"/>
              </w:rPr>
            </w:pPr>
          </w:p>
        </w:tc>
      </w:tr>
      <w:tr w:rsidR="0019248B" w14:paraId="7B70E6B0" w14:textId="77777777" w:rsidTr="00571615">
        <w:tc>
          <w:tcPr>
            <w:tcW w:w="1292" w:type="dxa"/>
            <w:tcBorders>
              <w:top w:val="single" w:sz="8" w:space="0" w:color="000000"/>
              <w:left w:val="single" w:sz="2" w:space="0" w:color="auto"/>
              <w:right w:val="single" w:sz="8" w:space="0" w:color="000000"/>
            </w:tcBorders>
          </w:tcPr>
          <w:p w14:paraId="5EF9FE85"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37A61E1E" w14:textId="77777777" w:rsidR="0019248B" w:rsidRDefault="0019248B" w:rsidP="00571615">
            <w:pPr>
              <w:spacing w:after="120"/>
              <w:jc w:val="left"/>
              <w:rPr>
                <w:b/>
                <w:sz w:val="20"/>
              </w:rPr>
            </w:pPr>
            <w:r>
              <w:rPr>
                <w:b/>
                <w:sz w:val="20"/>
              </w:rPr>
              <w:t>Condemnation/ Casualty Payments; Restoration after Destruction or Condemnation</w:t>
            </w:r>
          </w:p>
        </w:tc>
        <w:tc>
          <w:tcPr>
            <w:tcW w:w="3330" w:type="dxa"/>
            <w:tcBorders>
              <w:top w:val="single" w:sz="8" w:space="0" w:color="000000"/>
              <w:left w:val="single" w:sz="8" w:space="0" w:color="000000"/>
              <w:right w:val="single" w:sz="8" w:space="0" w:color="000000"/>
            </w:tcBorders>
          </w:tcPr>
          <w:p w14:paraId="7ADE2AA7" w14:textId="469BF7CD" w:rsidR="0019248B" w:rsidRDefault="009F2459" w:rsidP="00571615">
            <w:pPr>
              <w:spacing w:after="120"/>
              <w:rPr>
                <w:sz w:val="20"/>
              </w:rPr>
            </w:pPr>
            <w:r w:rsidRPr="009F2459">
              <w:rPr>
                <w:sz w:val="20"/>
              </w:rPr>
              <w:t xml:space="preserve">The proceeds or award must not be less than the total </w:t>
            </w:r>
            <w:proofErr w:type="gramStart"/>
            <w:r w:rsidRPr="009F2459">
              <w:rPr>
                <w:sz w:val="20"/>
              </w:rPr>
              <w:t>award</w:t>
            </w:r>
            <w:proofErr w:type="gramEnd"/>
            <w:r w:rsidRPr="009F2459">
              <w:rPr>
                <w:sz w:val="20"/>
              </w:rPr>
              <w:t xml:space="preserve"> minus the value of the remainder interest in the land considered as unimproved. </w:t>
            </w:r>
            <w:r w:rsidR="0019248B">
              <w:rPr>
                <w:sz w:val="20"/>
              </w:rPr>
              <w:t>The Ground Lease must permit payment to the Leasehold Mortgagee of any casualty or condemnation award to which the Ground Lessee is entitled</w:t>
            </w:r>
            <w:r w:rsidR="00DF6884">
              <w:rPr>
                <w:sz w:val="20"/>
              </w:rPr>
              <w:t xml:space="preserve"> </w:t>
            </w:r>
            <w:r w:rsidR="00DF6884" w:rsidRPr="00DF6884">
              <w:rPr>
                <w:sz w:val="20"/>
              </w:rPr>
              <w:t>to repay the indebtedness and/or restore or rebuild the Mortgaged Property</w:t>
            </w:r>
            <w:r w:rsidR="009E6DC5">
              <w:rPr>
                <w:sz w:val="20"/>
              </w:rPr>
              <w:t>, as determined by Leasehold Mortgagee</w:t>
            </w:r>
            <w:r w:rsidR="00DF6884" w:rsidRPr="00DF6884">
              <w:rPr>
                <w:sz w:val="20"/>
              </w:rPr>
              <w:t>.</w:t>
            </w:r>
            <w:r w:rsidR="0019248B">
              <w:rPr>
                <w:sz w:val="20"/>
              </w:rPr>
              <w:t xml:space="preserve">  </w:t>
            </w:r>
            <w:r w:rsidR="00DF6884">
              <w:rPr>
                <w:sz w:val="20"/>
              </w:rPr>
              <w:t xml:space="preserve">The </w:t>
            </w:r>
            <w:r w:rsidR="00DF6884" w:rsidRPr="00DF6884">
              <w:rPr>
                <w:sz w:val="20"/>
              </w:rPr>
              <w:t xml:space="preserve">proceeds or award </w:t>
            </w:r>
            <w:r w:rsidR="0019248B">
              <w:rPr>
                <w:sz w:val="20"/>
              </w:rPr>
              <w:t xml:space="preserve">must not be less than the total </w:t>
            </w:r>
            <w:proofErr w:type="gramStart"/>
            <w:r w:rsidR="0019248B">
              <w:rPr>
                <w:sz w:val="20"/>
              </w:rPr>
              <w:t>award</w:t>
            </w:r>
            <w:proofErr w:type="gramEnd"/>
            <w:r w:rsidR="0019248B">
              <w:rPr>
                <w:sz w:val="20"/>
              </w:rPr>
              <w:t xml:space="preserve"> minus the value of the remainder interest in the land considered as unimproved. The Ground Lease shall not prohibit Lender from participating in adjustment of losses and settlement.</w:t>
            </w:r>
          </w:p>
          <w:p w14:paraId="38174CFE" w14:textId="640F0581" w:rsidR="0019248B" w:rsidRDefault="0019248B" w:rsidP="00571615">
            <w:pPr>
              <w:spacing w:after="120"/>
              <w:rPr>
                <w:sz w:val="20"/>
              </w:rPr>
            </w:pPr>
            <w:r>
              <w:rPr>
                <w:sz w:val="20"/>
              </w:rPr>
              <w:t xml:space="preserve">In the event of a casualty or condemnation, the Ground Lease must provide that it cannot be terminated and must further expressly provide (or not prohibit) that the insurance proceeds or condemnation award may be retained by the Ground Lessee and applied to the Mortgage Loan as repayment of the indebtedness or to restore the improvements; provided, however, that in the event of a full casualty or taking Ground Lessor may be entitled to the portion of any casualty proceeds or condemnation award which represents the unimproved value of </w:t>
            </w:r>
            <w:r>
              <w:rPr>
                <w:sz w:val="20"/>
              </w:rPr>
              <w:lastRenderedPageBreak/>
              <w:t>the fee estate as the Ground Lessor’s interest.</w:t>
            </w:r>
          </w:p>
        </w:tc>
        <w:tc>
          <w:tcPr>
            <w:tcW w:w="3330" w:type="dxa"/>
            <w:tcBorders>
              <w:top w:val="single" w:sz="8" w:space="0" w:color="000000"/>
              <w:left w:val="single" w:sz="8" w:space="0" w:color="000000"/>
              <w:right w:val="single" w:sz="2" w:space="0" w:color="auto"/>
            </w:tcBorders>
          </w:tcPr>
          <w:p w14:paraId="70F17DB8" w14:textId="77777777" w:rsidR="0019248B" w:rsidRDefault="0019248B" w:rsidP="00571615">
            <w:pPr>
              <w:spacing w:before="120" w:after="120"/>
              <w:rPr>
                <w:sz w:val="20"/>
              </w:rPr>
            </w:pPr>
          </w:p>
        </w:tc>
      </w:tr>
      <w:tr w:rsidR="0019248B" w14:paraId="70EB9EB8" w14:textId="77777777" w:rsidTr="00571615">
        <w:tc>
          <w:tcPr>
            <w:tcW w:w="1292" w:type="dxa"/>
            <w:tcBorders>
              <w:top w:val="single" w:sz="8" w:space="0" w:color="000000"/>
              <w:left w:val="single" w:sz="2" w:space="0" w:color="auto"/>
              <w:right w:val="single" w:sz="8" w:space="0" w:color="000000"/>
            </w:tcBorders>
          </w:tcPr>
          <w:p w14:paraId="354EEF0A"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30352B46" w14:textId="77777777" w:rsidR="0019248B" w:rsidRDefault="0019248B" w:rsidP="00571615">
            <w:pPr>
              <w:spacing w:after="120"/>
              <w:jc w:val="left"/>
              <w:rPr>
                <w:b/>
                <w:sz w:val="20"/>
              </w:rPr>
            </w:pPr>
            <w:r>
              <w:rPr>
                <w:b/>
                <w:sz w:val="20"/>
              </w:rPr>
              <w:t>Foreclosure</w:t>
            </w:r>
          </w:p>
        </w:tc>
        <w:tc>
          <w:tcPr>
            <w:tcW w:w="3330" w:type="dxa"/>
            <w:tcBorders>
              <w:top w:val="single" w:sz="8" w:space="0" w:color="000000"/>
              <w:left w:val="single" w:sz="8" w:space="0" w:color="000000"/>
              <w:right w:val="single" w:sz="8" w:space="0" w:color="000000"/>
            </w:tcBorders>
            <w:hideMark/>
          </w:tcPr>
          <w:p w14:paraId="02C9F1B4" w14:textId="77777777" w:rsidR="0019248B" w:rsidRDefault="0019248B" w:rsidP="00571615">
            <w:pPr>
              <w:spacing w:after="120"/>
              <w:rPr>
                <w:sz w:val="20"/>
              </w:rPr>
            </w:pPr>
            <w:r>
              <w:rPr>
                <w:sz w:val="20"/>
              </w:rPr>
              <w:t>The Ground Lease must provide for the Leasehold Mortgagee’s right to foreclose without Ground Lessor consent and acquire the lease in its own name or in the name of an assignee or nominee upon foreclosure or any other exercise by Leasehold Mortgagee of rights and remedies (whether under the Mortgage Loan or under applicable law), as a result of which Leasehold Mortgagee (or its designee or nominee) or a third party purchaser becomes owner of the leasehold estate, or delivery of a deed or other conveyance of Ground Lessee’s interest in lieu of any of the foregoing.</w:t>
            </w:r>
          </w:p>
        </w:tc>
        <w:tc>
          <w:tcPr>
            <w:tcW w:w="3330" w:type="dxa"/>
            <w:tcBorders>
              <w:top w:val="single" w:sz="8" w:space="0" w:color="000000"/>
              <w:left w:val="single" w:sz="8" w:space="0" w:color="000000"/>
              <w:right w:val="single" w:sz="2" w:space="0" w:color="auto"/>
            </w:tcBorders>
          </w:tcPr>
          <w:p w14:paraId="184A2EA1" w14:textId="77777777" w:rsidR="0019248B" w:rsidRDefault="0019248B" w:rsidP="00571615">
            <w:pPr>
              <w:spacing w:before="120" w:after="120"/>
              <w:rPr>
                <w:sz w:val="20"/>
              </w:rPr>
            </w:pPr>
          </w:p>
        </w:tc>
      </w:tr>
      <w:tr w:rsidR="0019248B" w14:paraId="2DC51E30" w14:textId="77777777" w:rsidTr="00571615">
        <w:tc>
          <w:tcPr>
            <w:tcW w:w="1292" w:type="dxa"/>
            <w:tcBorders>
              <w:top w:val="single" w:sz="8" w:space="0" w:color="000000"/>
              <w:left w:val="single" w:sz="2" w:space="0" w:color="auto"/>
              <w:right w:val="single" w:sz="8" w:space="0" w:color="000000"/>
            </w:tcBorders>
          </w:tcPr>
          <w:p w14:paraId="1A34ED96"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7B8B46F7" w14:textId="77777777" w:rsidR="0019248B" w:rsidRDefault="0019248B" w:rsidP="00571615">
            <w:pPr>
              <w:spacing w:after="120"/>
              <w:jc w:val="left"/>
              <w:rPr>
                <w:sz w:val="20"/>
              </w:rPr>
            </w:pPr>
            <w:r>
              <w:rPr>
                <w:b/>
                <w:sz w:val="20"/>
              </w:rPr>
              <w:t>Rent Escalation</w:t>
            </w:r>
          </w:p>
        </w:tc>
        <w:tc>
          <w:tcPr>
            <w:tcW w:w="3330" w:type="dxa"/>
            <w:tcBorders>
              <w:top w:val="single" w:sz="8" w:space="0" w:color="000000"/>
              <w:left w:val="single" w:sz="8" w:space="0" w:color="000000"/>
              <w:right w:val="single" w:sz="8" w:space="0" w:color="000000"/>
            </w:tcBorders>
            <w:hideMark/>
          </w:tcPr>
          <w:p w14:paraId="292E69C4" w14:textId="77777777" w:rsidR="0019248B" w:rsidRPr="00C33DFD" w:rsidRDefault="0019248B" w:rsidP="00571615">
            <w:pPr>
              <w:spacing w:after="120"/>
              <w:rPr>
                <w:sz w:val="20"/>
              </w:rPr>
            </w:pPr>
            <w:r>
              <w:rPr>
                <w:sz w:val="20"/>
              </w:rPr>
              <w:t xml:space="preserve">If the Ground Lease contains an escalator clause, the amount of the rent increase must be ascertainable at origination (for example, the Ground Lease must not contain rent escalation provisions based on changes in the Consumer Price Index (CPI)) , and the increase in rent may not cause the amortizing Debt Service Coverage Ratio applicable to the Mortgage Loan to fall below the amortizing Debt Service Coverage Ratio used in the calculation of the loan amount.  </w:t>
            </w:r>
            <w:r w:rsidRPr="006A263F">
              <w:rPr>
                <w:sz w:val="20"/>
              </w:rPr>
              <w:t xml:space="preserve">Rent must be comparable to market rent for properties </w:t>
            </w:r>
            <w:proofErr w:type="gramStart"/>
            <w:r w:rsidRPr="006A263F">
              <w:rPr>
                <w:sz w:val="20"/>
              </w:rPr>
              <w:t>similar to</w:t>
            </w:r>
            <w:proofErr w:type="gramEnd"/>
            <w:r w:rsidRPr="006A263F">
              <w:rPr>
                <w:sz w:val="20"/>
              </w:rPr>
              <w:t xml:space="preserve"> the mortgaged property in the applicable geographic area of the </w:t>
            </w:r>
            <w:r>
              <w:rPr>
                <w:sz w:val="20"/>
              </w:rPr>
              <w:t xml:space="preserve">mortgaged </w:t>
            </w:r>
            <w:r w:rsidRPr="006A263F">
              <w:rPr>
                <w:sz w:val="20"/>
              </w:rPr>
              <w:t>property</w:t>
            </w:r>
            <w:r>
              <w:rPr>
                <w:sz w:val="20"/>
              </w:rPr>
              <w:t>.</w:t>
            </w:r>
          </w:p>
        </w:tc>
        <w:tc>
          <w:tcPr>
            <w:tcW w:w="3330" w:type="dxa"/>
            <w:tcBorders>
              <w:top w:val="single" w:sz="8" w:space="0" w:color="000000"/>
              <w:left w:val="single" w:sz="8" w:space="0" w:color="000000"/>
              <w:right w:val="single" w:sz="2" w:space="0" w:color="auto"/>
            </w:tcBorders>
          </w:tcPr>
          <w:p w14:paraId="749C5DBD" w14:textId="77777777" w:rsidR="0019248B" w:rsidRDefault="0019248B" w:rsidP="00571615">
            <w:pPr>
              <w:spacing w:before="120" w:after="120"/>
              <w:rPr>
                <w:sz w:val="20"/>
              </w:rPr>
            </w:pPr>
          </w:p>
        </w:tc>
      </w:tr>
      <w:tr w:rsidR="0019248B" w14:paraId="38B3A939" w14:textId="77777777" w:rsidTr="00571615">
        <w:tc>
          <w:tcPr>
            <w:tcW w:w="1292" w:type="dxa"/>
            <w:tcBorders>
              <w:top w:val="single" w:sz="8" w:space="0" w:color="000000"/>
              <w:left w:val="single" w:sz="2" w:space="0" w:color="auto"/>
              <w:right w:val="single" w:sz="8" w:space="0" w:color="000000"/>
            </w:tcBorders>
          </w:tcPr>
          <w:p w14:paraId="7E23DB18"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409928BF" w14:textId="77777777" w:rsidR="0019248B" w:rsidRDefault="0019248B" w:rsidP="00571615">
            <w:pPr>
              <w:spacing w:after="120"/>
              <w:jc w:val="left"/>
              <w:rPr>
                <w:sz w:val="20"/>
              </w:rPr>
            </w:pPr>
            <w:r>
              <w:rPr>
                <w:b/>
                <w:sz w:val="20"/>
              </w:rPr>
              <w:t>Ground Lessee’s Options to Extend the Term of the Ground Lease and Options to Purchase the Fee Estate</w:t>
            </w:r>
          </w:p>
        </w:tc>
        <w:tc>
          <w:tcPr>
            <w:tcW w:w="3330" w:type="dxa"/>
            <w:tcBorders>
              <w:top w:val="single" w:sz="8" w:space="0" w:color="000000"/>
              <w:left w:val="single" w:sz="8" w:space="0" w:color="000000"/>
              <w:right w:val="single" w:sz="8" w:space="0" w:color="000000"/>
            </w:tcBorders>
            <w:hideMark/>
          </w:tcPr>
          <w:p w14:paraId="4EBCF922" w14:textId="77777777" w:rsidR="0019248B" w:rsidRDefault="0019248B" w:rsidP="00571615">
            <w:pPr>
              <w:spacing w:after="120"/>
              <w:rPr>
                <w:sz w:val="20"/>
              </w:rPr>
            </w:pPr>
            <w:r>
              <w:rPr>
                <w:sz w:val="20"/>
              </w:rPr>
              <w:t>The Ground Lease must contain a provision that requires the Ground Lessor to give the Leasehold Mortgagee notice of the Ground Lessee’s failure to exercise (a) any options to renew or extend the term of the Ground Lease or (b) any options to purchase the fee estate (including any r</w:t>
            </w:r>
            <w:r w:rsidRPr="00AF38FA">
              <w:rPr>
                <w:sz w:val="20"/>
              </w:rPr>
              <w:t xml:space="preserve">ight of </w:t>
            </w:r>
            <w:r>
              <w:rPr>
                <w:sz w:val="20"/>
              </w:rPr>
              <w:t>f</w:t>
            </w:r>
            <w:r w:rsidRPr="00AF38FA">
              <w:rPr>
                <w:sz w:val="20"/>
              </w:rPr>
              <w:t xml:space="preserve">irst </w:t>
            </w:r>
            <w:r>
              <w:rPr>
                <w:sz w:val="20"/>
              </w:rPr>
              <w:t>r</w:t>
            </w:r>
            <w:r w:rsidRPr="00AF38FA">
              <w:rPr>
                <w:sz w:val="20"/>
              </w:rPr>
              <w:t xml:space="preserve">efusal </w:t>
            </w:r>
            <w:r>
              <w:rPr>
                <w:sz w:val="20"/>
              </w:rPr>
              <w:t>or</w:t>
            </w:r>
            <w:r w:rsidRPr="00AF38FA">
              <w:rPr>
                <w:sz w:val="20"/>
              </w:rPr>
              <w:t xml:space="preserve"> </w:t>
            </w:r>
            <w:r>
              <w:rPr>
                <w:sz w:val="20"/>
              </w:rPr>
              <w:t>r</w:t>
            </w:r>
            <w:r w:rsidRPr="00AF38FA">
              <w:rPr>
                <w:sz w:val="20"/>
              </w:rPr>
              <w:t xml:space="preserve">ight of </w:t>
            </w:r>
            <w:r>
              <w:rPr>
                <w:sz w:val="20"/>
              </w:rPr>
              <w:t>f</w:t>
            </w:r>
            <w:r w:rsidRPr="00AF38FA">
              <w:rPr>
                <w:sz w:val="20"/>
              </w:rPr>
              <w:t xml:space="preserve">irst </w:t>
            </w:r>
            <w:r>
              <w:rPr>
                <w:sz w:val="20"/>
              </w:rPr>
              <w:t>o</w:t>
            </w:r>
            <w:r w:rsidRPr="00AF38FA">
              <w:rPr>
                <w:sz w:val="20"/>
              </w:rPr>
              <w:t xml:space="preserve">ffer </w:t>
            </w:r>
            <w:r>
              <w:rPr>
                <w:sz w:val="20"/>
              </w:rPr>
              <w:t xml:space="preserve">to purchase the fee estate) and provide the Leasehold Mortgagee with the right to exercise any such Ground Lease renewal, extension or </w:t>
            </w:r>
            <w:r>
              <w:rPr>
                <w:sz w:val="20"/>
              </w:rPr>
              <w:lastRenderedPageBreak/>
              <w:t>purchase rights notwithstanding expiration of such rights following the Ground Lessee’s failure to do so (and, in the event any such purchase option is exercised, the Mortgage Loan will become a first lien on the fee estate).</w:t>
            </w:r>
          </w:p>
        </w:tc>
        <w:tc>
          <w:tcPr>
            <w:tcW w:w="3330" w:type="dxa"/>
            <w:tcBorders>
              <w:top w:val="single" w:sz="8" w:space="0" w:color="000000"/>
              <w:left w:val="single" w:sz="8" w:space="0" w:color="000000"/>
              <w:right w:val="single" w:sz="2" w:space="0" w:color="auto"/>
            </w:tcBorders>
          </w:tcPr>
          <w:p w14:paraId="42AE6DB6" w14:textId="77777777" w:rsidR="0019248B" w:rsidRDefault="0019248B" w:rsidP="00571615">
            <w:pPr>
              <w:spacing w:before="120" w:after="120"/>
              <w:rPr>
                <w:sz w:val="20"/>
              </w:rPr>
            </w:pPr>
          </w:p>
        </w:tc>
      </w:tr>
      <w:tr w:rsidR="0019248B" w14:paraId="5F353978" w14:textId="77777777" w:rsidTr="00571615">
        <w:tc>
          <w:tcPr>
            <w:tcW w:w="1292" w:type="dxa"/>
            <w:tcBorders>
              <w:top w:val="single" w:sz="8" w:space="0" w:color="000000"/>
              <w:left w:val="single" w:sz="2" w:space="0" w:color="auto"/>
              <w:right w:val="single" w:sz="8" w:space="0" w:color="000000"/>
            </w:tcBorders>
          </w:tcPr>
          <w:p w14:paraId="5F6FBBD5"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5C85C932" w14:textId="77777777" w:rsidR="0019248B" w:rsidRDefault="0019248B" w:rsidP="00571615">
            <w:pPr>
              <w:spacing w:after="120"/>
              <w:jc w:val="left"/>
              <w:rPr>
                <w:b/>
                <w:sz w:val="20"/>
              </w:rPr>
            </w:pPr>
            <w:r>
              <w:rPr>
                <w:b/>
                <w:sz w:val="20"/>
              </w:rPr>
              <w:t>Personal Liability</w:t>
            </w:r>
          </w:p>
        </w:tc>
        <w:tc>
          <w:tcPr>
            <w:tcW w:w="3330" w:type="dxa"/>
            <w:tcBorders>
              <w:top w:val="single" w:sz="8" w:space="0" w:color="000000"/>
              <w:left w:val="single" w:sz="8" w:space="0" w:color="000000"/>
              <w:right w:val="single" w:sz="8" w:space="0" w:color="000000"/>
            </w:tcBorders>
            <w:hideMark/>
          </w:tcPr>
          <w:p w14:paraId="138475CF" w14:textId="77777777" w:rsidR="0019248B" w:rsidRDefault="0019248B" w:rsidP="00571615">
            <w:pPr>
              <w:spacing w:after="120"/>
              <w:rPr>
                <w:sz w:val="20"/>
              </w:rPr>
            </w:pPr>
            <w:r>
              <w:rPr>
                <w:sz w:val="20"/>
              </w:rPr>
              <w:t xml:space="preserve">The Leasehold Mortgagee must not have personal liability under the lease until it has record title to the leasehold estate.  If Leasehold Mortgagee obtains record title to the leasehold estate, such liability of the Leasehold Mortgagee and its assigns to the Ground Lessor must be limited to the value of their respective interests in the leasehold estate. </w:t>
            </w:r>
          </w:p>
        </w:tc>
        <w:tc>
          <w:tcPr>
            <w:tcW w:w="3330" w:type="dxa"/>
            <w:tcBorders>
              <w:top w:val="single" w:sz="8" w:space="0" w:color="000000"/>
              <w:left w:val="single" w:sz="8" w:space="0" w:color="000000"/>
              <w:right w:val="single" w:sz="2" w:space="0" w:color="auto"/>
            </w:tcBorders>
          </w:tcPr>
          <w:p w14:paraId="5BA8363A" w14:textId="77777777" w:rsidR="0019248B" w:rsidRDefault="0019248B" w:rsidP="00571615">
            <w:pPr>
              <w:spacing w:before="120" w:after="120"/>
              <w:rPr>
                <w:sz w:val="20"/>
              </w:rPr>
            </w:pPr>
          </w:p>
        </w:tc>
      </w:tr>
      <w:tr w:rsidR="0019248B" w14:paraId="0343B30A" w14:textId="77777777" w:rsidTr="00571615">
        <w:tc>
          <w:tcPr>
            <w:tcW w:w="1292" w:type="dxa"/>
            <w:tcBorders>
              <w:top w:val="single" w:sz="8" w:space="0" w:color="000000"/>
              <w:left w:val="single" w:sz="2" w:space="0" w:color="auto"/>
              <w:right w:val="single" w:sz="8" w:space="0" w:color="000000"/>
            </w:tcBorders>
          </w:tcPr>
          <w:p w14:paraId="17EA87BD"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B661AA8" w14:textId="77777777" w:rsidR="0019248B" w:rsidRDefault="0019248B" w:rsidP="00571615">
            <w:pPr>
              <w:spacing w:after="120"/>
              <w:jc w:val="left"/>
              <w:rPr>
                <w:sz w:val="20"/>
              </w:rPr>
            </w:pPr>
            <w:r>
              <w:rPr>
                <w:b/>
                <w:sz w:val="20"/>
              </w:rPr>
              <w:t>Use Restrictions</w:t>
            </w:r>
          </w:p>
        </w:tc>
        <w:tc>
          <w:tcPr>
            <w:tcW w:w="3330" w:type="dxa"/>
            <w:tcBorders>
              <w:top w:val="single" w:sz="8" w:space="0" w:color="000000"/>
              <w:left w:val="single" w:sz="8" w:space="0" w:color="000000"/>
              <w:right w:val="single" w:sz="8" w:space="0" w:color="000000"/>
            </w:tcBorders>
            <w:hideMark/>
          </w:tcPr>
          <w:p w14:paraId="37194CF7" w14:textId="77777777" w:rsidR="0019248B" w:rsidRDefault="0019248B" w:rsidP="00571615">
            <w:pPr>
              <w:spacing w:after="120"/>
              <w:rPr>
                <w:sz w:val="20"/>
              </w:rPr>
            </w:pPr>
            <w:r>
              <w:rPr>
                <w:sz w:val="20"/>
              </w:rPr>
              <w:t>The Ground Lease must not contain any unreasonable restriction on the use of the real property and must permit the Ground Lessee to use the Property for multifamily housing and any other underwritten use.</w:t>
            </w:r>
          </w:p>
        </w:tc>
        <w:tc>
          <w:tcPr>
            <w:tcW w:w="3330" w:type="dxa"/>
            <w:tcBorders>
              <w:top w:val="single" w:sz="8" w:space="0" w:color="000000"/>
              <w:left w:val="single" w:sz="8" w:space="0" w:color="000000"/>
              <w:right w:val="single" w:sz="2" w:space="0" w:color="auto"/>
            </w:tcBorders>
          </w:tcPr>
          <w:p w14:paraId="60AA6078" w14:textId="77777777" w:rsidR="0019248B" w:rsidRDefault="0019248B" w:rsidP="00571615">
            <w:pPr>
              <w:spacing w:before="120" w:after="120"/>
              <w:rPr>
                <w:sz w:val="20"/>
              </w:rPr>
            </w:pPr>
          </w:p>
        </w:tc>
      </w:tr>
      <w:tr w:rsidR="0019248B" w14:paraId="4E631031" w14:textId="77777777" w:rsidTr="00571615">
        <w:tc>
          <w:tcPr>
            <w:tcW w:w="1292" w:type="dxa"/>
            <w:tcBorders>
              <w:top w:val="single" w:sz="8" w:space="0" w:color="000000"/>
              <w:left w:val="single" w:sz="2" w:space="0" w:color="auto"/>
              <w:right w:val="single" w:sz="8" w:space="0" w:color="000000"/>
            </w:tcBorders>
          </w:tcPr>
          <w:p w14:paraId="57383922" w14:textId="77777777" w:rsidR="0019248B" w:rsidRDefault="0019248B" w:rsidP="0019248B">
            <w:pPr>
              <w:widowControl w:val="0"/>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2F4B788" w14:textId="77777777" w:rsidR="0019248B" w:rsidRDefault="0019248B" w:rsidP="00571615">
            <w:pPr>
              <w:spacing w:after="120"/>
              <w:jc w:val="left"/>
              <w:rPr>
                <w:b/>
                <w:sz w:val="20"/>
              </w:rPr>
            </w:pPr>
            <w:r>
              <w:rPr>
                <w:b/>
                <w:sz w:val="20"/>
              </w:rPr>
              <w:t>Subletting</w:t>
            </w:r>
          </w:p>
        </w:tc>
        <w:tc>
          <w:tcPr>
            <w:tcW w:w="3330" w:type="dxa"/>
            <w:tcBorders>
              <w:top w:val="single" w:sz="8" w:space="0" w:color="000000"/>
              <w:left w:val="single" w:sz="8" w:space="0" w:color="000000"/>
              <w:right w:val="single" w:sz="8" w:space="0" w:color="000000"/>
            </w:tcBorders>
            <w:hideMark/>
          </w:tcPr>
          <w:p w14:paraId="21318F49" w14:textId="77777777" w:rsidR="0019248B" w:rsidRPr="00C33DFD" w:rsidRDefault="0019248B" w:rsidP="00571615">
            <w:pPr>
              <w:spacing w:after="120"/>
              <w:rPr>
                <w:sz w:val="20"/>
              </w:rPr>
            </w:pPr>
            <w:r w:rsidRPr="00C33DFD">
              <w:rPr>
                <w:sz w:val="20"/>
              </w:rPr>
              <w:t xml:space="preserve">The Ground Lease must permit the Ground Lessee to sublet the premises to individual residents without unreasonable restrictions.  The Ground Lease may not be a sublease. </w:t>
            </w:r>
            <w:r>
              <w:rPr>
                <w:sz w:val="20"/>
              </w:rPr>
              <w:t xml:space="preserve"> S</w:t>
            </w:r>
            <w:r w:rsidRPr="00C33DFD">
              <w:rPr>
                <w:sz w:val="20"/>
              </w:rPr>
              <w:t>tructures where Leasehold Mortgagee’s interest will be secured by a sublease under a Ground Lease should be avoided unless there is an agreement from the Ground Lessor or an amendment to the Ground Lease to recognize the sublease as a direct lease between Ground Lessor and Borrower if the Ground Lease is terminated for any reason.</w:t>
            </w:r>
          </w:p>
        </w:tc>
        <w:tc>
          <w:tcPr>
            <w:tcW w:w="3330" w:type="dxa"/>
            <w:tcBorders>
              <w:top w:val="single" w:sz="8" w:space="0" w:color="000000"/>
              <w:left w:val="single" w:sz="8" w:space="0" w:color="000000"/>
              <w:right w:val="single" w:sz="2" w:space="0" w:color="auto"/>
            </w:tcBorders>
          </w:tcPr>
          <w:p w14:paraId="0552A3D0" w14:textId="77777777" w:rsidR="0019248B" w:rsidRDefault="0019248B" w:rsidP="00571615">
            <w:pPr>
              <w:spacing w:before="120" w:after="120"/>
              <w:rPr>
                <w:sz w:val="20"/>
              </w:rPr>
            </w:pPr>
          </w:p>
        </w:tc>
      </w:tr>
      <w:tr w:rsidR="0019248B" w14:paraId="1C17623A" w14:textId="77777777" w:rsidTr="00571615">
        <w:tc>
          <w:tcPr>
            <w:tcW w:w="1292" w:type="dxa"/>
            <w:tcBorders>
              <w:top w:val="single" w:sz="8" w:space="0" w:color="000000"/>
              <w:left w:val="single" w:sz="2" w:space="0" w:color="auto"/>
              <w:right w:val="single" w:sz="8" w:space="0" w:color="000000"/>
            </w:tcBorders>
          </w:tcPr>
          <w:p w14:paraId="49711964" w14:textId="77777777" w:rsidR="0019248B" w:rsidRDefault="0019248B" w:rsidP="0019248B">
            <w:pPr>
              <w:widowControl w:val="0"/>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2E7F942" w14:textId="77777777" w:rsidR="0019248B" w:rsidRDefault="0019248B" w:rsidP="00571615">
            <w:pPr>
              <w:spacing w:after="120"/>
              <w:jc w:val="left"/>
              <w:rPr>
                <w:b/>
                <w:sz w:val="20"/>
              </w:rPr>
            </w:pPr>
            <w:r>
              <w:rPr>
                <w:b/>
                <w:sz w:val="20"/>
              </w:rPr>
              <w:t>Improvements</w:t>
            </w:r>
          </w:p>
        </w:tc>
        <w:tc>
          <w:tcPr>
            <w:tcW w:w="3330" w:type="dxa"/>
            <w:tcBorders>
              <w:top w:val="single" w:sz="8" w:space="0" w:color="000000"/>
              <w:left w:val="single" w:sz="8" w:space="0" w:color="000000"/>
              <w:right w:val="single" w:sz="8" w:space="0" w:color="000000"/>
            </w:tcBorders>
            <w:hideMark/>
          </w:tcPr>
          <w:p w14:paraId="685209FA" w14:textId="77777777" w:rsidR="0019248B" w:rsidRDefault="0019248B" w:rsidP="00571615">
            <w:pPr>
              <w:spacing w:after="120"/>
              <w:rPr>
                <w:sz w:val="20"/>
              </w:rPr>
            </w:pPr>
            <w:r>
              <w:rPr>
                <w:sz w:val="20"/>
              </w:rPr>
              <w:t>The Ground Lease must provide that the Ground Lessee:</w:t>
            </w:r>
          </w:p>
          <w:p w14:paraId="2E55B415" w14:textId="0136576E" w:rsidR="0019248B" w:rsidRPr="007E2F7D" w:rsidRDefault="0019248B" w:rsidP="0019248B">
            <w:pPr>
              <w:pStyle w:val="ListParagraph"/>
              <w:numPr>
                <w:ilvl w:val="0"/>
                <w:numId w:val="6"/>
              </w:numPr>
              <w:spacing w:after="120"/>
              <w:ind w:left="331" w:hanging="331"/>
              <w:contextualSpacing w:val="0"/>
              <w:rPr>
                <w:sz w:val="20"/>
              </w:rPr>
            </w:pPr>
            <w:r w:rsidRPr="007E2F7D">
              <w:rPr>
                <w:sz w:val="20"/>
              </w:rPr>
              <w:t>owns the Improvements</w:t>
            </w:r>
            <w:r w:rsidR="00446F59">
              <w:rPr>
                <w:sz w:val="20"/>
              </w:rPr>
              <w:t>;</w:t>
            </w:r>
            <w:r w:rsidRPr="007E2F7D">
              <w:rPr>
                <w:sz w:val="20"/>
              </w:rPr>
              <w:t xml:space="preserve"> and</w:t>
            </w:r>
          </w:p>
          <w:p w14:paraId="28EA5190" w14:textId="77777777" w:rsidR="0019248B" w:rsidRDefault="0019248B" w:rsidP="0019248B">
            <w:pPr>
              <w:pStyle w:val="ListParagraph"/>
              <w:numPr>
                <w:ilvl w:val="0"/>
                <w:numId w:val="6"/>
              </w:numPr>
              <w:spacing w:after="120"/>
              <w:ind w:left="331" w:hanging="331"/>
              <w:contextualSpacing w:val="0"/>
              <w:rPr>
                <w:sz w:val="20"/>
              </w:rPr>
            </w:pPr>
            <w:r>
              <w:rPr>
                <w:sz w:val="20"/>
              </w:rPr>
              <w:t>has the right to alter, improve, and modify the Improvements without the Ground Lessor’s consent.</w:t>
            </w:r>
          </w:p>
        </w:tc>
        <w:tc>
          <w:tcPr>
            <w:tcW w:w="3330" w:type="dxa"/>
            <w:tcBorders>
              <w:top w:val="single" w:sz="8" w:space="0" w:color="000000"/>
              <w:left w:val="single" w:sz="8" w:space="0" w:color="000000"/>
              <w:right w:val="single" w:sz="2" w:space="0" w:color="auto"/>
            </w:tcBorders>
          </w:tcPr>
          <w:p w14:paraId="4047C32D" w14:textId="77777777" w:rsidR="0019248B" w:rsidRDefault="0019248B" w:rsidP="00571615">
            <w:pPr>
              <w:spacing w:before="120" w:after="120"/>
              <w:rPr>
                <w:sz w:val="20"/>
              </w:rPr>
            </w:pPr>
          </w:p>
        </w:tc>
      </w:tr>
      <w:tr w:rsidR="0019248B" w14:paraId="4B5E0936" w14:textId="77777777" w:rsidTr="00571615">
        <w:tc>
          <w:tcPr>
            <w:tcW w:w="1292" w:type="dxa"/>
            <w:tcBorders>
              <w:top w:val="single" w:sz="8" w:space="0" w:color="000000"/>
              <w:left w:val="single" w:sz="2" w:space="0" w:color="auto"/>
              <w:right w:val="single" w:sz="8" w:space="0" w:color="000000"/>
            </w:tcBorders>
          </w:tcPr>
          <w:p w14:paraId="48200C7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08BBA7B" w14:textId="77777777" w:rsidR="0019248B" w:rsidRDefault="0019248B" w:rsidP="00571615">
            <w:pPr>
              <w:spacing w:after="120"/>
              <w:jc w:val="left"/>
              <w:rPr>
                <w:b/>
                <w:sz w:val="20"/>
              </w:rPr>
            </w:pPr>
            <w:r>
              <w:rPr>
                <w:b/>
                <w:sz w:val="20"/>
              </w:rPr>
              <w:t>Estoppel Certificate</w:t>
            </w:r>
          </w:p>
        </w:tc>
        <w:tc>
          <w:tcPr>
            <w:tcW w:w="3330" w:type="dxa"/>
            <w:tcBorders>
              <w:top w:val="single" w:sz="8" w:space="0" w:color="000000"/>
              <w:left w:val="single" w:sz="8" w:space="0" w:color="000000"/>
              <w:right w:val="single" w:sz="8" w:space="0" w:color="000000"/>
            </w:tcBorders>
          </w:tcPr>
          <w:p w14:paraId="5B7DB475" w14:textId="77777777" w:rsidR="0019248B" w:rsidRDefault="0019248B" w:rsidP="00571615">
            <w:pPr>
              <w:spacing w:after="120"/>
              <w:rPr>
                <w:sz w:val="20"/>
              </w:rPr>
            </w:pPr>
            <w:r>
              <w:rPr>
                <w:sz w:val="20"/>
              </w:rPr>
              <w:t xml:space="preserve">The Ground Lease must obligate the Ground Lessor to provide “estoppel” </w:t>
            </w:r>
            <w:r>
              <w:rPr>
                <w:sz w:val="20"/>
              </w:rPr>
              <w:lastRenderedPageBreak/>
              <w:t>certificates when requested by a lender.</w:t>
            </w:r>
          </w:p>
          <w:p w14:paraId="0080DA0E" w14:textId="77777777" w:rsidR="0019248B" w:rsidRDefault="0019248B" w:rsidP="00571615">
            <w:pPr>
              <w:spacing w:after="120"/>
              <w:rPr>
                <w:sz w:val="20"/>
              </w:rPr>
            </w:pPr>
            <w:r>
              <w:rPr>
                <w:sz w:val="20"/>
              </w:rPr>
              <w:t>The Estoppel Certificate must be substantially in the form of Form 6495.</w:t>
            </w:r>
          </w:p>
        </w:tc>
        <w:tc>
          <w:tcPr>
            <w:tcW w:w="3330" w:type="dxa"/>
            <w:tcBorders>
              <w:top w:val="single" w:sz="8" w:space="0" w:color="000000"/>
              <w:left w:val="single" w:sz="8" w:space="0" w:color="000000"/>
              <w:right w:val="single" w:sz="2" w:space="0" w:color="auto"/>
            </w:tcBorders>
          </w:tcPr>
          <w:p w14:paraId="6A39EDA0" w14:textId="77777777" w:rsidR="0019248B" w:rsidRDefault="0019248B" w:rsidP="00571615">
            <w:pPr>
              <w:spacing w:before="120" w:after="120"/>
              <w:rPr>
                <w:sz w:val="20"/>
              </w:rPr>
            </w:pPr>
          </w:p>
        </w:tc>
      </w:tr>
      <w:tr w:rsidR="0019248B" w14:paraId="673762BF" w14:textId="77777777" w:rsidTr="00571615">
        <w:tc>
          <w:tcPr>
            <w:tcW w:w="1292" w:type="dxa"/>
            <w:tcBorders>
              <w:top w:val="single" w:sz="8" w:space="0" w:color="000000"/>
              <w:left w:val="single" w:sz="2" w:space="0" w:color="auto"/>
              <w:right w:val="single" w:sz="8" w:space="0" w:color="000000"/>
            </w:tcBorders>
          </w:tcPr>
          <w:p w14:paraId="71944C1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6138B2CD" w14:textId="77777777" w:rsidR="0019248B" w:rsidRDefault="0019248B" w:rsidP="00571615">
            <w:pPr>
              <w:spacing w:after="120"/>
              <w:jc w:val="left"/>
              <w:rPr>
                <w:sz w:val="20"/>
              </w:rPr>
            </w:pPr>
            <w:r>
              <w:rPr>
                <w:b/>
                <w:sz w:val="20"/>
              </w:rPr>
              <w:t>No Cross-Default</w:t>
            </w:r>
          </w:p>
        </w:tc>
        <w:tc>
          <w:tcPr>
            <w:tcW w:w="3330" w:type="dxa"/>
            <w:tcBorders>
              <w:top w:val="single" w:sz="8" w:space="0" w:color="000000"/>
              <w:left w:val="single" w:sz="8" w:space="0" w:color="000000"/>
              <w:right w:val="single" w:sz="8" w:space="0" w:color="000000"/>
            </w:tcBorders>
            <w:hideMark/>
          </w:tcPr>
          <w:p w14:paraId="57303A36" w14:textId="77777777" w:rsidR="0019248B" w:rsidRDefault="0019248B" w:rsidP="00571615">
            <w:pPr>
              <w:spacing w:after="120"/>
              <w:rPr>
                <w:sz w:val="20"/>
              </w:rPr>
            </w:pPr>
            <w:r>
              <w:rPr>
                <w:sz w:val="20"/>
              </w:rPr>
              <w:t>The Ground Lease may not contain a provision whereby a default under the Security Instrument is considered a default under the Ground Lease.</w:t>
            </w:r>
          </w:p>
        </w:tc>
        <w:tc>
          <w:tcPr>
            <w:tcW w:w="3330" w:type="dxa"/>
            <w:tcBorders>
              <w:top w:val="single" w:sz="8" w:space="0" w:color="000000"/>
              <w:left w:val="single" w:sz="8" w:space="0" w:color="000000"/>
              <w:right w:val="single" w:sz="2" w:space="0" w:color="auto"/>
            </w:tcBorders>
          </w:tcPr>
          <w:p w14:paraId="70361E5A" w14:textId="77777777" w:rsidR="0019248B" w:rsidRDefault="0019248B" w:rsidP="00571615">
            <w:pPr>
              <w:spacing w:before="120" w:after="120"/>
              <w:rPr>
                <w:sz w:val="20"/>
              </w:rPr>
            </w:pPr>
          </w:p>
        </w:tc>
      </w:tr>
      <w:tr w:rsidR="0019248B" w14:paraId="2C6BBD7E" w14:textId="77777777" w:rsidTr="00571615">
        <w:tc>
          <w:tcPr>
            <w:tcW w:w="1292" w:type="dxa"/>
            <w:tcBorders>
              <w:top w:val="single" w:sz="8" w:space="0" w:color="000000"/>
              <w:left w:val="single" w:sz="2" w:space="0" w:color="auto"/>
              <w:right w:val="single" w:sz="8" w:space="0" w:color="000000"/>
            </w:tcBorders>
          </w:tcPr>
          <w:p w14:paraId="52D4238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F650D8D" w14:textId="77777777" w:rsidR="0019248B" w:rsidRDefault="0019248B" w:rsidP="00571615">
            <w:pPr>
              <w:spacing w:after="120"/>
              <w:jc w:val="left"/>
              <w:rPr>
                <w:sz w:val="20"/>
              </w:rPr>
            </w:pPr>
            <w:r>
              <w:rPr>
                <w:b/>
                <w:sz w:val="20"/>
              </w:rPr>
              <w:t>Title Policy</w:t>
            </w:r>
          </w:p>
        </w:tc>
        <w:tc>
          <w:tcPr>
            <w:tcW w:w="3330" w:type="dxa"/>
            <w:tcBorders>
              <w:top w:val="single" w:sz="8" w:space="0" w:color="000000"/>
              <w:left w:val="single" w:sz="8" w:space="0" w:color="000000"/>
              <w:right w:val="single" w:sz="8" w:space="0" w:color="000000"/>
            </w:tcBorders>
            <w:hideMark/>
          </w:tcPr>
          <w:p w14:paraId="52C5A394" w14:textId="77777777" w:rsidR="0019248B" w:rsidRDefault="0019248B" w:rsidP="00571615">
            <w:pPr>
              <w:spacing w:after="120"/>
              <w:rPr>
                <w:sz w:val="20"/>
              </w:rPr>
            </w:pPr>
            <w:r>
              <w:rPr>
                <w:sz w:val="20"/>
              </w:rPr>
              <w:t xml:space="preserve">An ALTA Leasehold Loan Policy or an ALTA Loan Policy with a CLTA 107.5 endorsement must be obtained. The policy must: (a) insure </w:t>
            </w:r>
            <w:proofErr w:type="gramStart"/>
            <w:r>
              <w:rPr>
                <w:sz w:val="20"/>
              </w:rPr>
              <w:t>the Ground</w:t>
            </w:r>
            <w:proofErr w:type="gramEnd"/>
            <w:r>
              <w:rPr>
                <w:sz w:val="20"/>
              </w:rPr>
              <w:t xml:space="preserve"> Lessee’s interest and the Ground Lessee’s option (if any) to purchase the fee interest in the related land; (b) </w:t>
            </w:r>
            <w:proofErr w:type="gramStart"/>
            <w:r>
              <w:rPr>
                <w:sz w:val="20"/>
              </w:rPr>
              <w:t>insure</w:t>
            </w:r>
            <w:proofErr w:type="gramEnd"/>
            <w:r>
              <w:rPr>
                <w:sz w:val="20"/>
              </w:rPr>
              <w:t xml:space="preserve"> that the lease is not subordinate to any lien or encumbrance other than the Mortgage Loan, and (c) otherwise satisfy other Fannie Mae title policy requirements.</w:t>
            </w:r>
          </w:p>
        </w:tc>
        <w:tc>
          <w:tcPr>
            <w:tcW w:w="3330" w:type="dxa"/>
            <w:tcBorders>
              <w:top w:val="single" w:sz="8" w:space="0" w:color="000000"/>
              <w:left w:val="single" w:sz="8" w:space="0" w:color="000000"/>
              <w:right w:val="single" w:sz="2" w:space="0" w:color="auto"/>
            </w:tcBorders>
          </w:tcPr>
          <w:p w14:paraId="032137F1" w14:textId="77777777" w:rsidR="0019248B" w:rsidRDefault="0019248B" w:rsidP="00571615">
            <w:pPr>
              <w:spacing w:before="120" w:after="120"/>
              <w:rPr>
                <w:sz w:val="20"/>
              </w:rPr>
            </w:pPr>
          </w:p>
        </w:tc>
      </w:tr>
      <w:tr w:rsidR="0019248B" w14:paraId="31C475E3" w14:textId="77777777" w:rsidTr="00571615">
        <w:tc>
          <w:tcPr>
            <w:tcW w:w="1292" w:type="dxa"/>
            <w:tcBorders>
              <w:top w:val="single" w:sz="8" w:space="0" w:color="000000"/>
              <w:left w:val="single" w:sz="2" w:space="0" w:color="auto"/>
              <w:right w:val="single" w:sz="8" w:space="0" w:color="000000"/>
            </w:tcBorders>
          </w:tcPr>
          <w:p w14:paraId="3C51534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6F5C196" w14:textId="77777777" w:rsidR="0019248B" w:rsidRDefault="0019248B" w:rsidP="00571615">
            <w:pPr>
              <w:spacing w:after="120"/>
              <w:jc w:val="left"/>
              <w:rPr>
                <w:b/>
                <w:sz w:val="20"/>
              </w:rPr>
            </w:pPr>
            <w:r>
              <w:rPr>
                <w:b/>
                <w:sz w:val="20"/>
              </w:rPr>
              <w:t>Affiliated Parties</w:t>
            </w:r>
          </w:p>
        </w:tc>
        <w:tc>
          <w:tcPr>
            <w:tcW w:w="3330" w:type="dxa"/>
            <w:tcBorders>
              <w:top w:val="single" w:sz="8" w:space="0" w:color="000000"/>
              <w:left w:val="single" w:sz="8" w:space="0" w:color="000000"/>
              <w:right w:val="single" w:sz="8" w:space="0" w:color="000000"/>
            </w:tcBorders>
          </w:tcPr>
          <w:p w14:paraId="6D1060B2" w14:textId="77777777" w:rsidR="0019248B" w:rsidRPr="0046027B" w:rsidRDefault="0019248B" w:rsidP="00571615">
            <w:pPr>
              <w:spacing w:after="120"/>
              <w:rPr>
                <w:b/>
                <w:bCs/>
                <w:sz w:val="20"/>
              </w:rPr>
            </w:pPr>
            <w:r>
              <w:rPr>
                <w:sz w:val="20"/>
              </w:rPr>
              <w:t xml:space="preserve">If the Ground Lessor is an affiliate of the Ground Lessee, the Ground Lessor must join in the security </w:t>
            </w:r>
            <w:proofErr w:type="gramStart"/>
            <w:r>
              <w:rPr>
                <w:sz w:val="20"/>
              </w:rPr>
              <w:t>instrument</w:t>
            </w:r>
            <w:proofErr w:type="gramEnd"/>
            <w:r>
              <w:rPr>
                <w:sz w:val="20"/>
              </w:rPr>
              <w:t xml:space="preserve"> and the security instrument must constitute a lien on both the fee estate and the leasehold estate.</w:t>
            </w:r>
          </w:p>
        </w:tc>
        <w:tc>
          <w:tcPr>
            <w:tcW w:w="3330" w:type="dxa"/>
            <w:tcBorders>
              <w:top w:val="single" w:sz="8" w:space="0" w:color="000000"/>
              <w:left w:val="single" w:sz="8" w:space="0" w:color="000000"/>
              <w:right w:val="single" w:sz="2" w:space="0" w:color="auto"/>
            </w:tcBorders>
          </w:tcPr>
          <w:p w14:paraId="285A7843" w14:textId="77777777" w:rsidR="0019248B" w:rsidRDefault="0019248B" w:rsidP="00571615">
            <w:pPr>
              <w:spacing w:before="120" w:after="120"/>
              <w:rPr>
                <w:sz w:val="20"/>
              </w:rPr>
            </w:pPr>
          </w:p>
        </w:tc>
      </w:tr>
      <w:tr w:rsidR="0019248B" w14:paraId="0F2ABF74" w14:textId="77777777" w:rsidTr="00571615">
        <w:tc>
          <w:tcPr>
            <w:tcW w:w="1292" w:type="dxa"/>
            <w:tcBorders>
              <w:top w:val="single" w:sz="8" w:space="0" w:color="000000"/>
              <w:left w:val="single" w:sz="2" w:space="0" w:color="auto"/>
              <w:right w:val="single" w:sz="8" w:space="0" w:color="000000"/>
            </w:tcBorders>
          </w:tcPr>
          <w:p w14:paraId="58EB4D3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55FF442D" w14:textId="77777777" w:rsidR="0019248B" w:rsidRDefault="0019248B" w:rsidP="00571615">
            <w:pPr>
              <w:spacing w:after="120"/>
              <w:jc w:val="left"/>
              <w:rPr>
                <w:b/>
                <w:sz w:val="20"/>
              </w:rPr>
            </w:pPr>
            <w:r>
              <w:rPr>
                <w:b/>
                <w:sz w:val="20"/>
              </w:rPr>
              <w:t xml:space="preserve">Ground Lessor Right of First Offer or Right of First Refusal </w:t>
            </w:r>
          </w:p>
        </w:tc>
        <w:tc>
          <w:tcPr>
            <w:tcW w:w="3330" w:type="dxa"/>
            <w:tcBorders>
              <w:top w:val="single" w:sz="8" w:space="0" w:color="000000"/>
              <w:left w:val="single" w:sz="8" w:space="0" w:color="000000"/>
              <w:right w:val="single" w:sz="8" w:space="0" w:color="000000"/>
            </w:tcBorders>
          </w:tcPr>
          <w:p w14:paraId="3CE74777" w14:textId="77777777" w:rsidR="0019248B" w:rsidRPr="00343F35" w:rsidRDefault="0019248B" w:rsidP="00571615">
            <w:pPr>
              <w:spacing w:after="120"/>
              <w:rPr>
                <w:b/>
                <w:bCs/>
                <w:sz w:val="20"/>
              </w:rPr>
            </w:pPr>
            <w:r>
              <w:rPr>
                <w:sz w:val="20"/>
              </w:rPr>
              <w:t xml:space="preserve">The Ground Lessor must not hold any option, right </w:t>
            </w:r>
            <w:proofErr w:type="gramStart"/>
            <w:r>
              <w:rPr>
                <w:sz w:val="20"/>
              </w:rPr>
              <w:t>of</w:t>
            </w:r>
            <w:proofErr w:type="gramEnd"/>
            <w:r>
              <w:rPr>
                <w:sz w:val="20"/>
              </w:rPr>
              <w:t xml:space="preserve"> first offer or right of first refusal to purchase the Mortgage Loan or the leasehold estate.</w:t>
            </w:r>
          </w:p>
        </w:tc>
        <w:tc>
          <w:tcPr>
            <w:tcW w:w="3330" w:type="dxa"/>
            <w:tcBorders>
              <w:top w:val="single" w:sz="8" w:space="0" w:color="000000"/>
              <w:left w:val="single" w:sz="8" w:space="0" w:color="000000"/>
              <w:right w:val="single" w:sz="2" w:space="0" w:color="auto"/>
            </w:tcBorders>
          </w:tcPr>
          <w:p w14:paraId="0FAD8743" w14:textId="77777777" w:rsidR="0019248B" w:rsidRDefault="0019248B" w:rsidP="00571615">
            <w:pPr>
              <w:spacing w:before="120" w:after="120"/>
              <w:rPr>
                <w:sz w:val="20"/>
              </w:rPr>
            </w:pPr>
          </w:p>
        </w:tc>
      </w:tr>
      <w:tr w:rsidR="0019248B" w14:paraId="0890AF31" w14:textId="77777777" w:rsidTr="00571615">
        <w:tc>
          <w:tcPr>
            <w:tcW w:w="1292" w:type="dxa"/>
            <w:tcBorders>
              <w:top w:val="single" w:sz="8" w:space="0" w:color="000000"/>
              <w:left w:val="single" w:sz="2" w:space="0" w:color="auto"/>
              <w:right w:val="single" w:sz="8" w:space="0" w:color="000000"/>
            </w:tcBorders>
          </w:tcPr>
          <w:p w14:paraId="75FF7BC3" w14:textId="77777777" w:rsidR="0019248B" w:rsidRDefault="0019248B" w:rsidP="0019248B">
            <w:pPr>
              <w:numPr>
                <w:ilvl w:val="0"/>
                <w:numId w:val="3"/>
              </w:numPr>
              <w:spacing w:after="120"/>
              <w:jc w:val="center"/>
              <w:rPr>
                <w:sz w:val="20"/>
              </w:rPr>
            </w:pPr>
            <w:bookmarkStart w:id="1" w:name="_Hlk52192958"/>
          </w:p>
        </w:tc>
        <w:tc>
          <w:tcPr>
            <w:tcW w:w="1980" w:type="dxa"/>
            <w:tcBorders>
              <w:top w:val="single" w:sz="8" w:space="0" w:color="000000"/>
              <w:left w:val="single" w:sz="8" w:space="0" w:color="000000"/>
              <w:right w:val="single" w:sz="8" w:space="0" w:color="000000"/>
            </w:tcBorders>
          </w:tcPr>
          <w:p w14:paraId="653BD1A3" w14:textId="77777777" w:rsidR="0019248B" w:rsidRDefault="0019248B" w:rsidP="00571615">
            <w:pPr>
              <w:spacing w:after="120"/>
              <w:jc w:val="left"/>
              <w:rPr>
                <w:b/>
                <w:sz w:val="20"/>
              </w:rPr>
            </w:pPr>
            <w:r>
              <w:rPr>
                <w:b/>
                <w:sz w:val="20"/>
              </w:rPr>
              <w:t>Assignment of Rents</w:t>
            </w:r>
          </w:p>
        </w:tc>
        <w:tc>
          <w:tcPr>
            <w:tcW w:w="3330" w:type="dxa"/>
            <w:tcBorders>
              <w:top w:val="single" w:sz="8" w:space="0" w:color="000000"/>
              <w:left w:val="single" w:sz="8" w:space="0" w:color="000000"/>
              <w:right w:val="single" w:sz="8" w:space="0" w:color="000000"/>
            </w:tcBorders>
          </w:tcPr>
          <w:p w14:paraId="42E64656" w14:textId="77777777" w:rsidR="0019248B" w:rsidRDefault="0019248B" w:rsidP="00571615">
            <w:pPr>
              <w:spacing w:after="120"/>
              <w:rPr>
                <w:sz w:val="20"/>
              </w:rPr>
            </w:pPr>
            <w:r>
              <w:rPr>
                <w:sz w:val="20"/>
              </w:rPr>
              <w:t>The Ground Lease must not grant to Ground Lessor any assignment or security interests in the leases and rents from the Property.</w:t>
            </w:r>
          </w:p>
        </w:tc>
        <w:tc>
          <w:tcPr>
            <w:tcW w:w="3330" w:type="dxa"/>
            <w:tcBorders>
              <w:top w:val="single" w:sz="8" w:space="0" w:color="000000"/>
              <w:left w:val="single" w:sz="8" w:space="0" w:color="000000"/>
              <w:right w:val="single" w:sz="2" w:space="0" w:color="auto"/>
            </w:tcBorders>
          </w:tcPr>
          <w:p w14:paraId="17252F35" w14:textId="77777777" w:rsidR="0019248B" w:rsidRDefault="0019248B" w:rsidP="00571615">
            <w:pPr>
              <w:spacing w:before="120" w:after="120"/>
              <w:rPr>
                <w:sz w:val="20"/>
              </w:rPr>
            </w:pPr>
          </w:p>
        </w:tc>
      </w:tr>
      <w:bookmarkEnd w:id="1"/>
      <w:tr w:rsidR="0019248B" w14:paraId="402657E6" w14:textId="77777777" w:rsidTr="00571615">
        <w:tc>
          <w:tcPr>
            <w:tcW w:w="1292" w:type="dxa"/>
            <w:tcBorders>
              <w:left w:val="single" w:sz="2" w:space="0" w:color="auto"/>
              <w:right w:val="single" w:sz="8" w:space="0" w:color="000000"/>
            </w:tcBorders>
          </w:tcPr>
          <w:p w14:paraId="319DA15A"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0743B62B" w14:textId="77777777" w:rsidR="0019248B" w:rsidRDefault="0019248B" w:rsidP="00571615">
            <w:pPr>
              <w:spacing w:after="120"/>
              <w:jc w:val="left"/>
              <w:rPr>
                <w:b/>
                <w:sz w:val="20"/>
              </w:rPr>
            </w:pPr>
            <w:r>
              <w:rPr>
                <w:b/>
                <w:sz w:val="20"/>
              </w:rPr>
              <w:t xml:space="preserve">Subordination </w:t>
            </w:r>
            <w:proofErr w:type="gramStart"/>
            <w:r>
              <w:rPr>
                <w:b/>
                <w:sz w:val="20"/>
              </w:rPr>
              <w:t>to</w:t>
            </w:r>
            <w:proofErr w:type="gramEnd"/>
            <w:r>
              <w:rPr>
                <w:b/>
                <w:sz w:val="20"/>
              </w:rPr>
              <w:t xml:space="preserve"> Leasehold Mortgage</w:t>
            </w:r>
          </w:p>
        </w:tc>
        <w:tc>
          <w:tcPr>
            <w:tcW w:w="3330" w:type="dxa"/>
            <w:tcBorders>
              <w:left w:val="single" w:sz="8" w:space="0" w:color="000000"/>
              <w:right w:val="single" w:sz="8" w:space="0" w:color="000000"/>
            </w:tcBorders>
          </w:tcPr>
          <w:p w14:paraId="4BB03323" w14:textId="77777777" w:rsidR="0019248B" w:rsidRPr="00101C42" w:rsidRDefault="0019248B" w:rsidP="0019248B">
            <w:pPr>
              <w:numPr>
                <w:ilvl w:val="1"/>
                <w:numId w:val="3"/>
              </w:numPr>
              <w:spacing w:after="120"/>
              <w:ind w:left="360" w:hanging="360"/>
              <w:rPr>
                <w:sz w:val="20"/>
              </w:rPr>
            </w:pPr>
            <w:r>
              <w:rPr>
                <w:sz w:val="20"/>
              </w:rPr>
              <w:t xml:space="preserve">Any existing mortgage on the fee estate of the Ground Lessor must be subordinate to the leasehold estate of the Ground Lessee under the Ground Lease; </w:t>
            </w:r>
            <w:r w:rsidRPr="00101C42">
              <w:rPr>
                <w:sz w:val="20"/>
              </w:rPr>
              <w:t>and</w:t>
            </w:r>
          </w:p>
          <w:p w14:paraId="41A6A34D" w14:textId="77777777" w:rsidR="0019248B" w:rsidRDefault="0019248B" w:rsidP="0019248B">
            <w:pPr>
              <w:numPr>
                <w:ilvl w:val="1"/>
                <w:numId w:val="3"/>
              </w:numPr>
              <w:spacing w:after="120"/>
              <w:ind w:left="360" w:hanging="360"/>
              <w:rPr>
                <w:bCs/>
                <w:kern w:val="2"/>
                <w:sz w:val="20"/>
              </w:rPr>
            </w:pPr>
            <w:r>
              <w:rPr>
                <w:sz w:val="20"/>
              </w:rPr>
              <w:t xml:space="preserve">The Ground Lease must prohibit </w:t>
            </w:r>
            <w:proofErr w:type="gramStart"/>
            <w:r>
              <w:rPr>
                <w:sz w:val="20"/>
              </w:rPr>
              <w:t>the Ground</w:t>
            </w:r>
            <w:proofErr w:type="gramEnd"/>
            <w:r>
              <w:rPr>
                <w:sz w:val="20"/>
              </w:rPr>
              <w:t xml:space="preserve"> Lessor from mortgaging the fee estate </w:t>
            </w:r>
            <w:proofErr w:type="gramStart"/>
            <w:r>
              <w:rPr>
                <w:sz w:val="20"/>
              </w:rPr>
              <w:t>at a later date</w:t>
            </w:r>
            <w:proofErr w:type="gramEnd"/>
            <w:r>
              <w:rPr>
                <w:sz w:val="20"/>
              </w:rPr>
              <w:t xml:space="preserve"> unless there is an express subordination of the Ground Lessor’s fee mortgage to the </w:t>
            </w:r>
            <w:r>
              <w:rPr>
                <w:sz w:val="20"/>
              </w:rPr>
              <w:lastRenderedPageBreak/>
              <w:t>Ground Lessee’s interest under the Ground Lease.</w:t>
            </w:r>
          </w:p>
        </w:tc>
        <w:tc>
          <w:tcPr>
            <w:tcW w:w="3330" w:type="dxa"/>
            <w:tcBorders>
              <w:top w:val="single" w:sz="8" w:space="0" w:color="000000"/>
              <w:left w:val="single" w:sz="8" w:space="0" w:color="000000"/>
              <w:bottom w:val="single" w:sz="8" w:space="0" w:color="000000"/>
              <w:right w:val="single" w:sz="2" w:space="0" w:color="auto"/>
            </w:tcBorders>
          </w:tcPr>
          <w:p w14:paraId="30D395CB" w14:textId="77777777" w:rsidR="0019248B" w:rsidRDefault="0019248B" w:rsidP="00571615">
            <w:pPr>
              <w:spacing w:before="120" w:after="120"/>
              <w:rPr>
                <w:sz w:val="20"/>
              </w:rPr>
            </w:pPr>
          </w:p>
        </w:tc>
      </w:tr>
      <w:tr w:rsidR="0019248B" w14:paraId="55E7DC35" w14:textId="77777777" w:rsidTr="00571615">
        <w:tc>
          <w:tcPr>
            <w:tcW w:w="1292" w:type="dxa"/>
            <w:tcBorders>
              <w:left w:val="single" w:sz="2" w:space="0" w:color="auto"/>
              <w:right w:val="single" w:sz="8" w:space="0" w:color="000000"/>
            </w:tcBorders>
          </w:tcPr>
          <w:p w14:paraId="1A06F384"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17B8C414" w14:textId="77777777" w:rsidR="0019248B" w:rsidRDefault="0019248B" w:rsidP="00571615">
            <w:pPr>
              <w:spacing w:after="120"/>
              <w:jc w:val="left"/>
              <w:rPr>
                <w:b/>
                <w:sz w:val="20"/>
              </w:rPr>
            </w:pPr>
            <w:r>
              <w:rPr>
                <w:b/>
                <w:sz w:val="20"/>
              </w:rPr>
              <w:t>Subordination to Fee Estate</w:t>
            </w:r>
          </w:p>
        </w:tc>
        <w:tc>
          <w:tcPr>
            <w:tcW w:w="3330" w:type="dxa"/>
            <w:tcBorders>
              <w:left w:val="single" w:sz="8" w:space="0" w:color="000000"/>
              <w:right w:val="single" w:sz="8" w:space="0" w:color="000000"/>
            </w:tcBorders>
          </w:tcPr>
          <w:p w14:paraId="264704CA" w14:textId="77777777" w:rsidR="0019248B" w:rsidRDefault="0019248B" w:rsidP="00571615">
            <w:pPr>
              <w:spacing w:after="120"/>
              <w:rPr>
                <w:bCs/>
                <w:kern w:val="2"/>
                <w:sz w:val="20"/>
              </w:rPr>
            </w:pPr>
            <w:r>
              <w:rPr>
                <w:sz w:val="20"/>
              </w:rPr>
              <w:t>The Ground Lease must not require Ground Lessee to subordinate its leasehold estate to a subsequent mortgage of the fee estate obtained by the Ground Lessor.</w:t>
            </w:r>
          </w:p>
        </w:tc>
        <w:tc>
          <w:tcPr>
            <w:tcW w:w="3330" w:type="dxa"/>
            <w:tcBorders>
              <w:top w:val="single" w:sz="8" w:space="0" w:color="000000"/>
              <w:left w:val="single" w:sz="8" w:space="0" w:color="000000"/>
              <w:bottom w:val="single" w:sz="8" w:space="0" w:color="000000"/>
              <w:right w:val="single" w:sz="2" w:space="0" w:color="auto"/>
            </w:tcBorders>
          </w:tcPr>
          <w:p w14:paraId="0D8F84D7" w14:textId="77777777" w:rsidR="0019248B" w:rsidRDefault="0019248B" w:rsidP="00571615">
            <w:pPr>
              <w:spacing w:before="120" w:after="120"/>
              <w:rPr>
                <w:sz w:val="20"/>
              </w:rPr>
            </w:pPr>
          </w:p>
        </w:tc>
      </w:tr>
      <w:tr w:rsidR="0019248B" w14:paraId="3F839B28" w14:textId="77777777" w:rsidTr="00571615">
        <w:tc>
          <w:tcPr>
            <w:tcW w:w="1292" w:type="dxa"/>
            <w:tcBorders>
              <w:left w:val="single" w:sz="2" w:space="0" w:color="auto"/>
              <w:right w:val="single" w:sz="8" w:space="0" w:color="000000"/>
            </w:tcBorders>
          </w:tcPr>
          <w:p w14:paraId="3AF7CE9F"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4FBE7CC8" w14:textId="77777777" w:rsidR="0019248B" w:rsidRDefault="0019248B" w:rsidP="00571615">
            <w:pPr>
              <w:spacing w:after="120"/>
              <w:jc w:val="left"/>
              <w:rPr>
                <w:b/>
                <w:sz w:val="20"/>
              </w:rPr>
            </w:pPr>
            <w:r>
              <w:rPr>
                <w:b/>
                <w:sz w:val="20"/>
              </w:rPr>
              <w:t>Amendment/ Modification</w:t>
            </w:r>
          </w:p>
        </w:tc>
        <w:tc>
          <w:tcPr>
            <w:tcW w:w="3330" w:type="dxa"/>
            <w:tcBorders>
              <w:left w:val="single" w:sz="8" w:space="0" w:color="000000"/>
              <w:right w:val="single" w:sz="8" w:space="0" w:color="000000"/>
            </w:tcBorders>
          </w:tcPr>
          <w:p w14:paraId="59C5E862" w14:textId="77777777" w:rsidR="0019248B" w:rsidRDefault="0019248B" w:rsidP="00571615">
            <w:pPr>
              <w:spacing w:after="120"/>
              <w:rPr>
                <w:bCs/>
                <w:kern w:val="2"/>
                <w:sz w:val="20"/>
              </w:rPr>
            </w:pPr>
            <w:r>
              <w:rPr>
                <w:sz w:val="20"/>
              </w:rPr>
              <w:t>The Ground Lease must provide that it cannot be amended, modified, cancelled, or terminated without the prior written consent of the Leasehold Mortgagee.</w:t>
            </w:r>
          </w:p>
        </w:tc>
        <w:tc>
          <w:tcPr>
            <w:tcW w:w="3330" w:type="dxa"/>
            <w:tcBorders>
              <w:top w:val="single" w:sz="8" w:space="0" w:color="000000"/>
              <w:left w:val="single" w:sz="8" w:space="0" w:color="000000"/>
              <w:bottom w:val="single" w:sz="8" w:space="0" w:color="000000"/>
              <w:right w:val="single" w:sz="2" w:space="0" w:color="auto"/>
            </w:tcBorders>
          </w:tcPr>
          <w:p w14:paraId="1870EEBE" w14:textId="77777777" w:rsidR="0019248B" w:rsidRDefault="0019248B" w:rsidP="00571615">
            <w:pPr>
              <w:spacing w:before="120" w:after="120"/>
              <w:rPr>
                <w:sz w:val="20"/>
              </w:rPr>
            </w:pPr>
          </w:p>
        </w:tc>
      </w:tr>
      <w:tr w:rsidR="0019248B" w14:paraId="1169C8AD" w14:textId="77777777" w:rsidTr="00571615">
        <w:tc>
          <w:tcPr>
            <w:tcW w:w="1292" w:type="dxa"/>
            <w:tcBorders>
              <w:left w:val="single" w:sz="2" w:space="0" w:color="auto"/>
              <w:right w:val="single" w:sz="8" w:space="0" w:color="000000"/>
            </w:tcBorders>
          </w:tcPr>
          <w:p w14:paraId="36E426D9"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69B31A16" w14:textId="77777777" w:rsidR="0019248B" w:rsidRDefault="0019248B" w:rsidP="00571615">
            <w:pPr>
              <w:spacing w:after="120"/>
              <w:jc w:val="left"/>
              <w:rPr>
                <w:b/>
                <w:sz w:val="20"/>
              </w:rPr>
            </w:pPr>
            <w:r>
              <w:rPr>
                <w:b/>
                <w:sz w:val="20"/>
              </w:rPr>
              <w:t>Surrender</w:t>
            </w:r>
          </w:p>
        </w:tc>
        <w:tc>
          <w:tcPr>
            <w:tcW w:w="3330" w:type="dxa"/>
            <w:tcBorders>
              <w:left w:val="single" w:sz="8" w:space="0" w:color="000000"/>
              <w:right w:val="single" w:sz="8" w:space="0" w:color="000000"/>
            </w:tcBorders>
          </w:tcPr>
          <w:p w14:paraId="16FCB43B" w14:textId="77777777" w:rsidR="0019248B" w:rsidRDefault="0019248B" w:rsidP="00571615">
            <w:pPr>
              <w:spacing w:after="120"/>
              <w:rPr>
                <w:bCs/>
                <w:kern w:val="2"/>
                <w:sz w:val="20"/>
              </w:rPr>
            </w:pPr>
            <w:r>
              <w:rPr>
                <w:sz w:val="20"/>
              </w:rPr>
              <w:t>The Ground Lease must provide that either the Ground Lessor agrees not to accept a voluntary surrender or termination of the Ground Lease or the Ground Lessee is not permitted to voluntarily surrender or terminate the Ground Lease at any time when the leasehold estate is encumbered by the Mortgage Loan.</w:t>
            </w:r>
          </w:p>
        </w:tc>
        <w:tc>
          <w:tcPr>
            <w:tcW w:w="3330" w:type="dxa"/>
            <w:tcBorders>
              <w:top w:val="single" w:sz="8" w:space="0" w:color="000000"/>
              <w:left w:val="single" w:sz="8" w:space="0" w:color="000000"/>
              <w:bottom w:val="single" w:sz="8" w:space="0" w:color="000000"/>
              <w:right w:val="single" w:sz="2" w:space="0" w:color="auto"/>
            </w:tcBorders>
          </w:tcPr>
          <w:p w14:paraId="779B0708" w14:textId="77777777" w:rsidR="0019248B" w:rsidRDefault="0019248B" w:rsidP="00571615">
            <w:pPr>
              <w:spacing w:before="120" w:after="120"/>
              <w:rPr>
                <w:sz w:val="20"/>
              </w:rPr>
            </w:pPr>
          </w:p>
        </w:tc>
      </w:tr>
      <w:tr w:rsidR="0019248B" w14:paraId="57385EBC" w14:textId="77777777" w:rsidTr="00571615">
        <w:tc>
          <w:tcPr>
            <w:tcW w:w="1292" w:type="dxa"/>
            <w:tcBorders>
              <w:left w:val="single" w:sz="2" w:space="0" w:color="auto"/>
              <w:right w:val="single" w:sz="8" w:space="0" w:color="000000"/>
            </w:tcBorders>
          </w:tcPr>
          <w:p w14:paraId="2244579C"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32E1CF71" w14:textId="77777777" w:rsidR="0019248B" w:rsidRDefault="0019248B" w:rsidP="00571615">
            <w:pPr>
              <w:spacing w:after="120"/>
              <w:jc w:val="left"/>
              <w:rPr>
                <w:b/>
                <w:sz w:val="20"/>
              </w:rPr>
            </w:pPr>
            <w:r>
              <w:rPr>
                <w:b/>
                <w:sz w:val="20"/>
              </w:rPr>
              <w:t>Notice of Proceedings; Lender Right to Participate</w:t>
            </w:r>
          </w:p>
        </w:tc>
        <w:tc>
          <w:tcPr>
            <w:tcW w:w="3330" w:type="dxa"/>
            <w:tcBorders>
              <w:left w:val="single" w:sz="8" w:space="0" w:color="000000"/>
              <w:right w:val="single" w:sz="8" w:space="0" w:color="000000"/>
            </w:tcBorders>
          </w:tcPr>
          <w:p w14:paraId="1BDFFEBD" w14:textId="77777777" w:rsidR="0019248B" w:rsidRDefault="0019248B" w:rsidP="00571615">
            <w:pPr>
              <w:spacing w:after="120"/>
              <w:rPr>
                <w:sz w:val="20"/>
              </w:rPr>
            </w:pPr>
            <w:r>
              <w:rPr>
                <w:sz w:val="20"/>
              </w:rPr>
              <w:t>The Ground Lease must provide that, if Ground Lessor or Ground Lessee initiates any appraisal, arbitration, litigation or other dispute resolution proceeding affecting the Ground Lease, then Ground Lessor shall notify Lender of such proceedings, and Lender shall have the right to participate in such proceeding on Ground Lessee’s behalf, or exercise any or all of the Ground Lessee’s rights in such proceeding, in each case (at Lender’s option) to the exclusion of Ground Lessee.</w:t>
            </w:r>
          </w:p>
        </w:tc>
        <w:tc>
          <w:tcPr>
            <w:tcW w:w="3330" w:type="dxa"/>
            <w:tcBorders>
              <w:top w:val="single" w:sz="8" w:space="0" w:color="000000"/>
              <w:left w:val="single" w:sz="8" w:space="0" w:color="000000"/>
              <w:bottom w:val="single" w:sz="8" w:space="0" w:color="000000"/>
              <w:right w:val="single" w:sz="2" w:space="0" w:color="auto"/>
            </w:tcBorders>
          </w:tcPr>
          <w:p w14:paraId="7B3C6695" w14:textId="77777777" w:rsidR="0019248B" w:rsidRDefault="0019248B" w:rsidP="00571615">
            <w:pPr>
              <w:spacing w:before="120" w:after="120"/>
              <w:rPr>
                <w:sz w:val="20"/>
              </w:rPr>
            </w:pPr>
          </w:p>
        </w:tc>
      </w:tr>
      <w:tr w:rsidR="0019248B" w14:paraId="178CCD3A" w14:textId="77777777" w:rsidTr="00571615">
        <w:tc>
          <w:tcPr>
            <w:tcW w:w="1292" w:type="dxa"/>
            <w:tcBorders>
              <w:left w:val="single" w:sz="2" w:space="0" w:color="auto"/>
              <w:right w:val="single" w:sz="8" w:space="0" w:color="000000"/>
            </w:tcBorders>
          </w:tcPr>
          <w:p w14:paraId="28972ED6"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4AEC87BB" w14:textId="77777777" w:rsidR="0019248B" w:rsidRDefault="0019248B" w:rsidP="00571615">
            <w:pPr>
              <w:spacing w:after="120"/>
              <w:jc w:val="left"/>
              <w:rPr>
                <w:b/>
                <w:sz w:val="20"/>
              </w:rPr>
            </w:pPr>
            <w:r>
              <w:rPr>
                <w:b/>
                <w:sz w:val="20"/>
              </w:rPr>
              <w:t>Other Terms</w:t>
            </w:r>
          </w:p>
        </w:tc>
        <w:tc>
          <w:tcPr>
            <w:tcW w:w="3330" w:type="dxa"/>
            <w:tcBorders>
              <w:left w:val="single" w:sz="8" w:space="0" w:color="000000"/>
              <w:right w:val="single" w:sz="8" w:space="0" w:color="000000"/>
            </w:tcBorders>
          </w:tcPr>
          <w:p w14:paraId="6F1FEF6A" w14:textId="77777777" w:rsidR="0019248B" w:rsidRDefault="0019248B" w:rsidP="00571615">
            <w:pPr>
              <w:spacing w:after="120"/>
              <w:rPr>
                <w:sz w:val="20"/>
              </w:rPr>
            </w:pPr>
            <w:r>
              <w:rPr>
                <w:sz w:val="20"/>
              </w:rPr>
              <w:t>The Ground Lease must not present any other unusual or noteworthy terms or rights that would be unacceptable to Lender, including lease escalations that could adversely affect the value of the Leasehold or any provisions that could adversely affect the marketability of and Lender’s ability to sell the property following a foreclosure event.</w:t>
            </w:r>
          </w:p>
          <w:p w14:paraId="3730B796" w14:textId="77777777" w:rsidR="0019248B" w:rsidRDefault="0019248B" w:rsidP="00571615">
            <w:pPr>
              <w:spacing w:after="120"/>
              <w:rPr>
                <w:sz w:val="20"/>
              </w:rPr>
            </w:pPr>
            <w:r>
              <w:rPr>
                <w:sz w:val="20"/>
              </w:rPr>
              <w:t>The Ground Lease must not require Ground Lessee to pay any non-</w:t>
            </w:r>
            <w:r>
              <w:rPr>
                <w:sz w:val="20"/>
              </w:rPr>
              <w:lastRenderedPageBreak/>
              <w:t>standard fees or compensation to the Ground Lessor, which would not ordinarily be payable in a Ground Lease that is arms’ length and between third parties.</w:t>
            </w:r>
          </w:p>
          <w:p w14:paraId="62FFB58E" w14:textId="77777777" w:rsidR="0019248B" w:rsidRDefault="0019248B" w:rsidP="00571615">
            <w:pPr>
              <w:spacing w:after="120"/>
              <w:rPr>
                <w:sz w:val="20"/>
              </w:rPr>
            </w:pPr>
            <w:r>
              <w:rPr>
                <w:sz w:val="20"/>
              </w:rPr>
              <w:t>Neither Ground Lessee nor Ground Lessor was the previous owner of the entire property prior to the Ground Lease being executed (e.g. the sale of the land and execution of the Ground Lease was done to create a financially engineered ground lease capital structure).</w:t>
            </w:r>
          </w:p>
        </w:tc>
        <w:tc>
          <w:tcPr>
            <w:tcW w:w="3330" w:type="dxa"/>
            <w:tcBorders>
              <w:top w:val="single" w:sz="8" w:space="0" w:color="000000"/>
              <w:left w:val="single" w:sz="8" w:space="0" w:color="000000"/>
              <w:right w:val="single" w:sz="2" w:space="0" w:color="auto"/>
            </w:tcBorders>
          </w:tcPr>
          <w:p w14:paraId="06E4EE0B" w14:textId="77777777" w:rsidR="0019248B" w:rsidRDefault="0019248B" w:rsidP="00571615">
            <w:pPr>
              <w:spacing w:before="120" w:after="120"/>
              <w:rPr>
                <w:sz w:val="20"/>
              </w:rPr>
            </w:pPr>
          </w:p>
        </w:tc>
      </w:tr>
    </w:tbl>
    <w:p w14:paraId="0FA9EA83" w14:textId="77777777" w:rsidR="0019248B" w:rsidRDefault="0019248B" w:rsidP="0019248B">
      <w:pPr>
        <w:rPr>
          <w:b/>
          <w:kern w:val="2"/>
          <w:szCs w:val="24"/>
        </w:rPr>
      </w:pPr>
    </w:p>
    <w:p w14:paraId="04965F29" w14:textId="77777777" w:rsidR="00774F86" w:rsidRPr="0019248B" w:rsidRDefault="00774F86" w:rsidP="0019248B"/>
    <w:sectPr w:rsidR="00774F86" w:rsidRPr="0019248B" w:rsidSect="00BB5CEE">
      <w:footerReference w:type="default" r:id="rId7"/>
      <w:endnotePr>
        <w:numFmt w:val="decimal"/>
      </w:endnotePr>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0BD2" w14:textId="77777777" w:rsidR="00624C84" w:rsidRDefault="00624C84">
      <w:pPr>
        <w:spacing w:line="-20" w:lineRule="auto"/>
      </w:pPr>
    </w:p>
  </w:endnote>
  <w:endnote w:type="continuationSeparator" w:id="0">
    <w:p w14:paraId="3F8F988E" w14:textId="77777777" w:rsidR="00624C84" w:rsidRDefault="00624C84">
      <w:r>
        <w:t xml:space="preserve"> </w:t>
      </w:r>
    </w:p>
  </w:endnote>
  <w:endnote w:type="continuationNotice" w:id="1">
    <w:p w14:paraId="5834B53A" w14:textId="77777777" w:rsidR="00624C84" w:rsidRDefault="00624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EE45" w14:textId="77777777" w:rsidR="00D57E8E" w:rsidRDefault="00D57E8E" w:rsidP="00D57E8E">
    <w:pPr>
      <w:rPr>
        <w:sz w:val="20"/>
      </w:rPr>
    </w:pPr>
  </w:p>
  <w:tbl>
    <w:tblPr>
      <w:tblW w:w="9690" w:type="dxa"/>
      <w:tblInd w:w="-90" w:type="dxa"/>
      <w:tblLook w:val="01E0" w:firstRow="1" w:lastRow="1" w:firstColumn="1" w:lastColumn="1" w:noHBand="0" w:noVBand="0"/>
    </w:tblPr>
    <w:tblGrid>
      <w:gridCol w:w="4038"/>
      <w:gridCol w:w="2460"/>
      <w:gridCol w:w="3192"/>
    </w:tblGrid>
    <w:tr w:rsidR="00D57E8E" w:rsidRPr="006F5826" w14:paraId="0E13635F" w14:textId="77777777" w:rsidTr="006C6B36">
      <w:tc>
        <w:tcPr>
          <w:tcW w:w="4038" w:type="dxa"/>
          <w:shd w:val="clear" w:color="auto" w:fill="auto"/>
          <w:vAlign w:val="bottom"/>
        </w:tcPr>
        <w:p w14:paraId="252A8557" w14:textId="77777777" w:rsidR="00D57E8E" w:rsidRPr="006F5826" w:rsidRDefault="00D57E8E" w:rsidP="00D57E8E">
          <w:pPr>
            <w:pStyle w:val="Footer"/>
            <w:jc w:val="left"/>
            <w:rPr>
              <w:sz w:val="20"/>
            </w:rPr>
          </w:pPr>
          <w:r>
            <w:rPr>
              <w:b/>
              <w:sz w:val="20"/>
            </w:rPr>
            <w:t>Ground Lease Review Checklist</w:t>
          </w:r>
        </w:p>
      </w:tc>
      <w:tc>
        <w:tcPr>
          <w:tcW w:w="2460" w:type="dxa"/>
          <w:shd w:val="clear" w:color="auto" w:fill="auto"/>
          <w:vAlign w:val="bottom"/>
        </w:tcPr>
        <w:p w14:paraId="6B4A1DE4" w14:textId="77777777" w:rsidR="00D57E8E" w:rsidRPr="006F5826" w:rsidRDefault="00D57E8E" w:rsidP="00D57E8E">
          <w:pPr>
            <w:pStyle w:val="Footer"/>
            <w:jc w:val="center"/>
            <w:rPr>
              <w:b/>
              <w:sz w:val="20"/>
            </w:rPr>
          </w:pPr>
          <w:r w:rsidRPr="006F5826">
            <w:rPr>
              <w:b/>
              <w:sz w:val="20"/>
            </w:rPr>
            <w:t xml:space="preserve">Form </w:t>
          </w:r>
          <w:r>
            <w:rPr>
              <w:b/>
              <w:sz w:val="20"/>
            </w:rPr>
            <w:t>6479</w:t>
          </w:r>
        </w:p>
      </w:tc>
      <w:tc>
        <w:tcPr>
          <w:tcW w:w="3192" w:type="dxa"/>
          <w:shd w:val="clear" w:color="auto" w:fill="auto"/>
          <w:vAlign w:val="bottom"/>
        </w:tcPr>
        <w:p w14:paraId="15699204" w14:textId="77777777" w:rsidR="00D57E8E" w:rsidRPr="006F5826" w:rsidRDefault="00D57E8E" w:rsidP="00BB5CEE">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BE6ECF">
            <w:rPr>
              <w:rStyle w:val="PageNumber"/>
              <w:b/>
              <w:noProof/>
              <w:sz w:val="20"/>
            </w:rPr>
            <w:t>1</w:t>
          </w:r>
          <w:r w:rsidRPr="006F5826">
            <w:rPr>
              <w:rStyle w:val="PageNumber"/>
              <w:b/>
              <w:sz w:val="20"/>
            </w:rPr>
            <w:fldChar w:fldCharType="end"/>
          </w:r>
        </w:p>
      </w:tc>
    </w:tr>
    <w:tr w:rsidR="003C1A69" w:rsidRPr="006F5826" w14:paraId="5723B041" w14:textId="77777777" w:rsidTr="00A41A18">
      <w:tc>
        <w:tcPr>
          <w:tcW w:w="4038" w:type="dxa"/>
          <w:shd w:val="clear" w:color="auto" w:fill="auto"/>
          <w:vAlign w:val="bottom"/>
        </w:tcPr>
        <w:p w14:paraId="18D7E4AB" w14:textId="77777777" w:rsidR="003C1A69" w:rsidRPr="006F5826" w:rsidRDefault="003C1A69" w:rsidP="003C1A69">
          <w:pPr>
            <w:pStyle w:val="Footer"/>
            <w:rPr>
              <w:b/>
              <w:sz w:val="20"/>
            </w:rPr>
          </w:pPr>
          <w:r w:rsidRPr="006F5826">
            <w:rPr>
              <w:b/>
              <w:sz w:val="20"/>
            </w:rPr>
            <w:t>Fannie Mae</w:t>
          </w:r>
        </w:p>
      </w:tc>
      <w:tc>
        <w:tcPr>
          <w:tcW w:w="2460" w:type="dxa"/>
          <w:shd w:val="clear" w:color="auto" w:fill="auto"/>
        </w:tcPr>
        <w:p w14:paraId="2D6C2D98" w14:textId="687E478A" w:rsidR="003C1A69" w:rsidRPr="006F5826" w:rsidRDefault="001B7899" w:rsidP="003C1A69">
          <w:pPr>
            <w:pStyle w:val="Footer"/>
            <w:jc w:val="center"/>
            <w:rPr>
              <w:b/>
              <w:sz w:val="20"/>
            </w:rPr>
          </w:pPr>
          <w:r>
            <w:rPr>
              <w:b/>
              <w:bCs/>
              <w:sz w:val="20"/>
            </w:rPr>
            <w:t>06-26</w:t>
          </w:r>
        </w:p>
      </w:tc>
      <w:tc>
        <w:tcPr>
          <w:tcW w:w="3192" w:type="dxa"/>
          <w:shd w:val="clear" w:color="auto" w:fill="auto"/>
        </w:tcPr>
        <w:p w14:paraId="2A1DDFE9" w14:textId="4F8B71B1" w:rsidR="003C1A69" w:rsidRPr="006F5826" w:rsidRDefault="003C1A69" w:rsidP="003C1A69">
          <w:pPr>
            <w:pStyle w:val="Footer"/>
            <w:jc w:val="right"/>
            <w:rPr>
              <w:b/>
              <w:sz w:val="20"/>
            </w:rPr>
          </w:pPr>
          <w:r>
            <w:rPr>
              <w:b/>
              <w:bCs/>
              <w:sz w:val="20"/>
            </w:rPr>
            <w:t>© 202</w:t>
          </w:r>
          <w:r w:rsidR="001B7899">
            <w:rPr>
              <w:b/>
              <w:bCs/>
              <w:sz w:val="20"/>
            </w:rPr>
            <w:t>6</w:t>
          </w:r>
          <w:r>
            <w:rPr>
              <w:b/>
              <w:bCs/>
              <w:sz w:val="20"/>
            </w:rPr>
            <w:t xml:space="preserve"> Fannie Mae</w:t>
          </w:r>
        </w:p>
      </w:tc>
    </w:tr>
  </w:tbl>
  <w:p w14:paraId="0F2D99D0" w14:textId="77777777" w:rsidR="002B186E" w:rsidRPr="00D57E8E" w:rsidRDefault="002B186E" w:rsidP="00D5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CA72" w14:textId="77777777" w:rsidR="00624C84" w:rsidRDefault="00624C84">
      <w:r>
        <w:separator/>
      </w:r>
    </w:p>
  </w:footnote>
  <w:footnote w:type="continuationSeparator" w:id="0">
    <w:p w14:paraId="723E2DF2" w14:textId="77777777" w:rsidR="00624C84" w:rsidRDefault="0062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061D"/>
    <w:multiLevelType w:val="hybridMultilevel"/>
    <w:tmpl w:val="8B32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4"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CE62F8C"/>
    <w:multiLevelType w:val="hybridMultilevel"/>
    <w:tmpl w:val="89AAA3C0"/>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2082868636">
    <w:abstractNumId w:val="3"/>
  </w:num>
  <w:num w:numId="2" w16cid:durableId="678773207">
    <w:abstractNumId w:val="6"/>
  </w:num>
  <w:num w:numId="3" w16cid:durableId="252788054">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422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192432">
    <w:abstractNumId w:val="4"/>
  </w:num>
  <w:num w:numId="6" w16cid:durableId="1295794266">
    <w:abstractNumId w:val="0"/>
  </w:num>
  <w:num w:numId="7" w16cid:durableId="564100605">
    <w:abstractNumId w:val="5"/>
  </w:num>
  <w:num w:numId="8" w16cid:durableId="40961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7844"/>
    <w:rsid w:val="00013CCB"/>
    <w:rsid w:val="00027540"/>
    <w:rsid w:val="00040DA4"/>
    <w:rsid w:val="00065D51"/>
    <w:rsid w:val="000702B5"/>
    <w:rsid w:val="00072543"/>
    <w:rsid w:val="00081D99"/>
    <w:rsid w:val="000869DA"/>
    <w:rsid w:val="00087862"/>
    <w:rsid w:val="000914C4"/>
    <w:rsid w:val="00095178"/>
    <w:rsid w:val="000971C5"/>
    <w:rsid w:val="000B7E90"/>
    <w:rsid w:val="000C1E56"/>
    <w:rsid w:val="000D4046"/>
    <w:rsid w:val="000E4E59"/>
    <w:rsid w:val="000F28D8"/>
    <w:rsid w:val="000F7FBA"/>
    <w:rsid w:val="00101C42"/>
    <w:rsid w:val="0010709D"/>
    <w:rsid w:val="00110840"/>
    <w:rsid w:val="00116C6C"/>
    <w:rsid w:val="00143CE0"/>
    <w:rsid w:val="00156085"/>
    <w:rsid w:val="00157ADF"/>
    <w:rsid w:val="00164DB5"/>
    <w:rsid w:val="001878DC"/>
    <w:rsid w:val="00187C8A"/>
    <w:rsid w:val="00191CB0"/>
    <w:rsid w:val="0019248B"/>
    <w:rsid w:val="001A2A67"/>
    <w:rsid w:val="001A7B5E"/>
    <w:rsid w:val="001B3EE9"/>
    <w:rsid w:val="001B7899"/>
    <w:rsid w:val="001C5F31"/>
    <w:rsid w:val="001E6836"/>
    <w:rsid w:val="002137D9"/>
    <w:rsid w:val="00217268"/>
    <w:rsid w:val="0022093C"/>
    <w:rsid w:val="00244365"/>
    <w:rsid w:val="0025069E"/>
    <w:rsid w:val="00253D34"/>
    <w:rsid w:val="002566A7"/>
    <w:rsid w:val="00257FE6"/>
    <w:rsid w:val="00261A4A"/>
    <w:rsid w:val="00266D74"/>
    <w:rsid w:val="00277EEE"/>
    <w:rsid w:val="0028078D"/>
    <w:rsid w:val="00283370"/>
    <w:rsid w:val="0028439F"/>
    <w:rsid w:val="0029724E"/>
    <w:rsid w:val="002A65B5"/>
    <w:rsid w:val="002B186E"/>
    <w:rsid w:val="002B385D"/>
    <w:rsid w:val="002B667C"/>
    <w:rsid w:val="002E14C4"/>
    <w:rsid w:val="00313910"/>
    <w:rsid w:val="00315E0C"/>
    <w:rsid w:val="00320A53"/>
    <w:rsid w:val="003216FC"/>
    <w:rsid w:val="00323F7C"/>
    <w:rsid w:val="00331A65"/>
    <w:rsid w:val="00332040"/>
    <w:rsid w:val="00343F35"/>
    <w:rsid w:val="0034602C"/>
    <w:rsid w:val="0034739D"/>
    <w:rsid w:val="0036369B"/>
    <w:rsid w:val="00363DFF"/>
    <w:rsid w:val="00364E87"/>
    <w:rsid w:val="0036578B"/>
    <w:rsid w:val="0037644F"/>
    <w:rsid w:val="00383D74"/>
    <w:rsid w:val="003A4B1C"/>
    <w:rsid w:val="003A4DA0"/>
    <w:rsid w:val="003A6B71"/>
    <w:rsid w:val="003C1A69"/>
    <w:rsid w:val="003D000F"/>
    <w:rsid w:val="003D5972"/>
    <w:rsid w:val="003E411E"/>
    <w:rsid w:val="00400CCD"/>
    <w:rsid w:val="004038FB"/>
    <w:rsid w:val="00405B5F"/>
    <w:rsid w:val="004110ED"/>
    <w:rsid w:val="00415E78"/>
    <w:rsid w:val="00423D5F"/>
    <w:rsid w:val="00427F26"/>
    <w:rsid w:val="00434025"/>
    <w:rsid w:val="00437AA3"/>
    <w:rsid w:val="00446F59"/>
    <w:rsid w:val="0046027B"/>
    <w:rsid w:val="004610E7"/>
    <w:rsid w:val="00472960"/>
    <w:rsid w:val="00487608"/>
    <w:rsid w:val="004A20E7"/>
    <w:rsid w:val="004A6510"/>
    <w:rsid w:val="004B5EE6"/>
    <w:rsid w:val="004D2825"/>
    <w:rsid w:val="005021EA"/>
    <w:rsid w:val="005159FF"/>
    <w:rsid w:val="00516701"/>
    <w:rsid w:val="00535AEF"/>
    <w:rsid w:val="005371F0"/>
    <w:rsid w:val="00537B6E"/>
    <w:rsid w:val="005566B6"/>
    <w:rsid w:val="0057386E"/>
    <w:rsid w:val="0058483A"/>
    <w:rsid w:val="005A7E1E"/>
    <w:rsid w:val="005B3840"/>
    <w:rsid w:val="005C361B"/>
    <w:rsid w:val="005D2C2C"/>
    <w:rsid w:val="005E7DD4"/>
    <w:rsid w:val="005F4525"/>
    <w:rsid w:val="005F521A"/>
    <w:rsid w:val="005F641B"/>
    <w:rsid w:val="00601A6A"/>
    <w:rsid w:val="00611EB4"/>
    <w:rsid w:val="0062113F"/>
    <w:rsid w:val="00622017"/>
    <w:rsid w:val="00624C84"/>
    <w:rsid w:val="00653397"/>
    <w:rsid w:val="0066121F"/>
    <w:rsid w:val="0066258F"/>
    <w:rsid w:val="00671507"/>
    <w:rsid w:val="006779DE"/>
    <w:rsid w:val="00687A1B"/>
    <w:rsid w:val="006A263F"/>
    <w:rsid w:val="006A2AA8"/>
    <w:rsid w:val="006F1ED5"/>
    <w:rsid w:val="006F5826"/>
    <w:rsid w:val="006F7395"/>
    <w:rsid w:val="0070482A"/>
    <w:rsid w:val="007133C7"/>
    <w:rsid w:val="00727269"/>
    <w:rsid w:val="00764DF0"/>
    <w:rsid w:val="00765725"/>
    <w:rsid w:val="00774F86"/>
    <w:rsid w:val="00790FB0"/>
    <w:rsid w:val="00793257"/>
    <w:rsid w:val="007A79E7"/>
    <w:rsid w:val="007B5646"/>
    <w:rsid w:val="007B5BB5"/>
    <w:rsid w:val="007C2CD7"/>
    <w:rsid w:val="007C6044"/>
    <w:rsid w:val="007D1A1F"/>
    <w:rsid w:val="007E12F5"/>
    <w:rsid w:val="007E2754"/>
    <w:rsid w:val="007E2F7D"/>
    <w:rsid w:val="007F2FFF"/>
    <w:rsid w:val="00826A12"/>
    <w:rsid w:val="008315A2"/>
    <w:rsid w:val="00841DA2"/>
    <w:rsid w:val="00870F1C"/>
    <w:rsid w:val="00871025"/>
    <w:rsid w:val="00873920"/>
    <w:rsid w:val="00886E78"/>
    <w:rsid w:val="00895587"/>
    <w:rsid w:val="00897F28"/>
    <w:rsid w:val="008C23A2"/>
    <w:rsid w:val="008E4595"/>
    <w:rsid w:val="008F7AA2"/>
    <w:rsid w:val="00933964"/>
    <w:rsid w:val="0095442D"/>
    <w:rsid w:val="00957157"/>
    <w:rsid w:val="00967B18"/>
    <w:rsid w:val="00974FF9"/>
    <w:rsid w:val="00977005"/>
    <w:rsid w:val="00981A36"/>
    <w:rsid w:val="00992BA8"/>
    <w:rsid w:val="009A2DC0"/>
    <w:rsid w:val="009B3A8A"/>
    <w:rsid w:val="009C0C9E"/>
    <w:rsid w:val="009C79D3"/>
    <w:rsid w:val="009D5C59"/>
    <w:rsid w:val="009E26B8"/>
    <w:rsid w:val="009E6DC5"/>
    <w:rsid w:val="009E72BA"/>
    <w:rsid w:val="009F2459"/>
    <w:rsid w:val="00A07607"/>
    <w:rsid w:val="00A11208"/>
    <w:rsid w:val="00A35D98"/>
    <w:rsid w:val="00A525EF"/>
    <w:rsid w:val="00A631F8"/>
    <w:rsid w:val="00A72B9E"/>
    <w:rsid w:val="00A811E9"/>
    <w:rsid w:val="00AB24C4"/>
    <w:rsid w:val="00AC4E6F"/>
    <w:rsid w:val="00AD3D3D"/>
    <w:rsid w:val="00AD3E1D"/>
    <w:rsid w:val="00AD4F42"/>
    <w:rsid w:val="00AD7639"/>
    <w:rsid w:val="00AD7CD6"/>
    <w:rsid w:val="00AE0D76"/>
    <w:rsid w:val="00AF273F"/>
    <w:rsid w:val="00AF299D"/>
    <w:rsid w:val="00AF38FA"/>
    <w:rsid w:val="00AF6804"/>
    <w:rsid w:val="00B06E69"/>
    <w:rsid w:val="00B113B0"/>
    <w:rsid w:val="00B1580E"/>
    <w:rsid w:val="00B22BAB"/>
    <w:rsid w:val="00B24D64"/>
    <w:rsid w:val="00B27E27"/>
    <w:rsid w:val="00B31766"/>
    <w:rsid w:val="00B42C32"/>
    <w:rsid w:val="00B460EC"/>
    <w:rsid w:val="00B479E5"/>
    <w:rsid w:val="00B655CD"/>
    <w:rsid w:val="00BB5B59"/>
    <w:rsid w:val="00BB5CEE"/>
    <w:rsid w:val="00BC1089"/>
    <w:rsid w:val="00BD1FF8"/>
    <w:rsid w:val="00BE6ECF"/>
    <w:rsid w:val="00BF50DF"/>
    <w:rsid w:val="00C21BE0"/>
    <w:rsid w:val="00C33DFD"/>
    <w:rsid w:val="00C56A58"/>
    <w:rsid w:val="00C62090"/>
    <w:rsid w:val="00C704FF"/>
    <w:rsid w:val="00C7189E"/>
    <w:rsid w:val="00C73BCF"/>
    <w:rsid w:val="00C74A29"/>
    <w:rsid w:val="00C85981"/>
    <w:rsid w:val="00CC0198"/>
    <w:rsid w:val="00CD3CD6"/>
    <w:rsid w:val="00CE0594"/>
    <w:rsid w:val="00CE7409"/>
    <w:rsid w:val="00CE7D31"/>
    <w:rsid w:val="00CF098E"/>
    <w:rsid w:val="00D04AF4"/>
    <w:rsid w:val="00D204E5"/>
    <w:rsid w:val="00D215DA"/>
    <w:rsid w:val="00D26D9E"/>
    <w:rsid w:val="00D4271D"/>
    <w:rsid w:val="00D55C2C"/>
    <w:rsid w:val="00D567D7"/>
    <w:rsid w:val="00D57E8E"/>
    <w:rsid w:val="00DA6439"/>
    <w:rsid w:val="00DD5EAD"/>
    <w:rsid w:val="00DD689C"/>
    <w:rsid w:val="00DE3EFE"/>
    <w:rsid w:val="00DF10E4"/>
    <w:rsid w:val="00DF6884"/>
    <w:rsid w:val="00E00D44"/>
    <w:rsid w:val="00E01A97"/>
    <w:rsid w:val="00E03A59"/>
    <w:rsid w:val="00E07A2C"/>
    <w:rsid w:val="00E11CBC"/>
    <w:rsid w:val="00E529C7"/>
    <w:rsid w:val="00E56E63"/>
    <w:rsid w:val="00E60687"/>
    <w:rsid w:val="00E66520"/>
    <w:rsid w:val="00EC3D1E"/>
    <w:rsid w:val="00EE5A81"/>
    <w:rsid w:val="00EF48EC"/>
    <w:rsid w:val="00F06499"/>
    <w:rsid w:val="00F33BC6"/>
    <w:rsid w:val="00F35721"/>
    <w:rsid w:val="00F6189F"/>
    <w:rsid w:val="00F66B76"/>
    <w:rsid w:val="00F8526A"/>
    <w:rsid w:val="00F952B2"/>
    <w:rsid w:val="00F97F12"/>
    <w:rsid w:val="00FA25B7"/>
    <w:rsid w:val="00FA5A02"/>
    <w:rsid w:val="00FE4036"/>
    <w:rsid w:val="00FF414E"/>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2C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57E8E"/>
    <w:rPr>
      <w:sz w:val="24"/>
    </w:rPr>
  </w:style>
  <w:style w:type="paragraph" w:styleId="BalloonText">
    <w:name w:val="Balloon Text"/>
    <w:basedOn w:val="Normal"/>
    <w:link w:val="BalloonTextChar"/>
    <w:semiHidden/>
    <w:unhideWhenUsed/>
    <w:rsid w:val="005159FF"/>
    <w:rPr>
      <w:rFonts w:ascii="Segoe UI" w:hAnsi="Segoe UI" w:cs="Segoe UI"/>
      <w:sz w:val="18"/>
      <w:szCs w:val="18"/>
    </w:rPr>
  </w:style>
  <w:style w:type="character" w:customStyle="1" w:styleId="BalloonTextChar">
    <w:name w:val="Balloon Text Char"/>
    <w:basedOn w:val="DefaultParagraphFont"/>
    <w:link w:val="BalloonText"/>
    <w:semiHidden/>
    <w:rsid w:val="005159FF"/>
    <w:rPr>
      <w:rFonts w:ascii="Segoe UI" w:hAnsi="Segoe UI" w:cs="Segoe UI"/>
      <w:sz w:val="18"/>
      <w:szCs w:val="18"/>
    </w:rPr>
  </w:style>
  <w:style w:type="character" w:styleId="CommentReference">
    <w:name w:val="annotation reference"/>
    <w:basedOn w:val="DefaultParagraphFont"/>
    <w:rsid w:val="00CE0594"/>
    <w:rPr>
      <w:sz w:val="16"/>
      <w:szCs w:val="16"/>
    </w:rPr>
  </w:style>
  <w:style w:type="paragraph" w:styleId="CommentText">
    <w:name w:val="annotation text"/>
    <w:basedOn w:val="Normal"/>
    <w:link w:val="CommentTextChar"/>
    <w:rsid w:val="00CE0594"/>
    <w:rPr>
      <w:sz w:val="20"/>
    </w:rPr>
  </w:style>
  <w:style w:type="character" w:customStyle="1" w:styleId="CommentTextChar">
    <w:name w:val="Comment Text Char"/>
    <w:basedOn w:val="DefaultParagraphFont"/>
    <w:link w:val="CommentText"/>
    <w:rsid w:val="00CE0594"/>
  </w:style>
  <w:style w:type="paragraph" w:styleId="Revision">
    <w:name w:val="Revision"/>
    <w:hidden/>
    <w:uiPriority w:val="99"/>
    <w:semiHidden/>
    <w:rsid w:val="0095442D"/>
    <w:rPr>
      <w:sz w:val="24"/>
    </w:rPr>
  </w:style>
  <w:style w:type="paragraph" w:styleId="CommentSubject">
    <w:name w:val="annotation subject"/>
    <w:basedOn w:val="CommentText"/>
    <w:next w:val="CommentText"/>
    <w:link w:val="CommentSubjectChar"/>
    <w:semiHidden/>
    <w:unhideWhenUsed/>
    <w:rsid w:val="009E6DC5"/>
    <w:rPr>
      <w:b/>
      <w:bCs/>
    </w:rPr>
  </w:style>
  <w:style w:type="character" w:customStyle="1" w:styleId="CommentSubjectChar">
    <w:name w:val="Comment Subject Char"/>
    <w:basedOn w:val="CommentTextChar"/>
    <w:link w:val="CommentSubject"/>
    <w:semiHidden/>
    <w:rsid w:val="009E6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20977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2194</Words>
  <Characters>11351</Characters>
  <Application>Microsoft Office Word</Application>
  <DocSecurity>0</DocSecurity>
  <Lines>214</Lines>
  <Paragraphs>79</Paragraphs>
  <ScaleCrop>false</ScaleCrop>
  <HeadingPairs>
    <vt:vector size="2" baseType="variant">
      <vt:variant>
        <vt:lpstr>Title</vt:lpstr>
      </vt:variant>
      <vt:variant>
        <vt:i4>1</vt:i4>
      </vt:variant>
    </vt:vector>
  </HeadingPairs>
  <TitlesOfParts>
    <vt:vector size="1" baseType="lpstr">
      <vt:lpstr>6479</vt:lpstr>
    </vt:vector>
  </TitlesOfParts>
  <Manager/>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6479</dc:title>
  <dc:subject>Ground Lease Review Checklist</dc:subject>
  <dc:creator/>
  <cp:keywords/>
  <cp:lastModifiedBy/>
  <cp:revision>1</cp:revision>
  <dcterms:created xsi:type="dcterms:W3CDTF">2026-05-15T14:33:00Z</dcterms:created>
  <dcterms:modified xsi:type="dcterms:W3CDTF">2026-05-15T14:33:00Z</dcterms:modified>
</cp:coreProperties>
</file>