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FEB5" w14:textId="77777777" w:rsidR="00FA7BD7" w:rsidRDefault="00C95DD0" w:rsidP="000930A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C58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Tax Increment Financing </w:t>
      </w:r>
      <w:r w:rsidR="00CD02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(TIF) </w:t>
      </w:r>
      <w:r w:rsidR="00867B81" w:rsidRPr="008C58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Checklist</w:t>
      </w:r>
    </w:p>
    <w:p w14:paraId="42FF071A" w14:textId="4C871993" w:rsidR="00C24429" w:rsidRPr="008C5886" w:rsidRDefault="00FA7BD7" w:rsidP="008A2897">
      <w:pPr>
        <w:spacing w:after="36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[Lender/Deal Name]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0006B" w:rsidRPr="000F467F" w14:paraId="562192F8" w14:textId="77777777" w:rsidTr="004A35DA">
        <w:tc>
          <w:tcPr>
            <w:tcW w:w="9355" w:type="dxa"/>
          </w:tcPr>
          <w:p w14:paraId="18B0EA84" w14:textId="7EFC3832" w:rsidR="00E0006B" w:rsidRPr="000F467F" w:rsidRDefault="00613C6C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LENDER:</w:t>
            </w:r>
          </w:p>
        </w:tc>
      </w:tr>
      <w:tr w:rsidR="00E0006B" w:rsidRPr="000F467F" w14:paraId="42E029C5" w14:textId="77777777" w:rsidTr="004A35DA">
        <w:tc>
          <w:tcPr>
            <w:tcW w:w="9355" w:type="dxa"/>
          </w:tcPr>
          <w:p w14:paraId="61102173" w14:textId="72462ACE" w:rsidR="00E0006B" w:rsidRPr="000F467F" w:rsidRDefault="00613C6C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PROJECT NAME/LOCATION (INCLUDING CITY, COUNTY, AND STATE):</w:t>
            </w:r>
          </w:p>
        </w:tc>
      </w:tr>
      <w:tr w:rsidR="00847FC3" w:rsidRPr="000F467F" w14:paraId="7A4A66FB" w14:textId="77777777" w:rsidTr="004A35DA">
        <w:tc>
          <w:tcPr>
            <w:tcW w:w="9355" w:type="dxa"/>
          </w:tcPr>
          <w:p w14:paraId="64A3C85C" w14:textId="5A50C172" w:rsidR="00847FC3" w:rsidRPr="000F467F" w:rsidRDefault="00613C6C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BORROWER NAME:</w:t>
            </w:r>
          </w:p>
        </w:tc>
      </w:tr>
      <w:tr w:rsidR="00837D39" w:rsidRPr="000F467F" w14:paraId="113ECF60" w14:textId="77777777" w:rsidTr="004A35DA">
        <w:tc>
          <w:tcPr>
            <w:tcW w:w="9355" w:type="dxa"/>
          </w:tcPr>
          <w:p w14:paraId="517F0710" w14:textId="08418204" w:rsidR="00837D39" w:rsidRPr="000F467F" w:rsidRDefault="00837D39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GUARANTOR NAME (if any):</w:t>
            </w:r>
          </w:p>
        </w:tc>
      </w:tr>
      <w:tr w:rsidR="00837D39" w:rsidRPr="000F467F" w14:paraId="169EC22C" w14:textId="77777777" w:rsidTr="004A35DA">
        <w:tc>
          <w:tcPr>
            <w:tcW w:w="9355" w:type="dxa"/>
          </w:tcPr>
          <w:p w14:paraId="6D70ACB6" w14:textId="0B2242C0" w:rsidR="00837D39" w:rsidRPr="000F467F" w:rsidRDefault="00837D39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KEY PRINCIPAL NAME:</w:t>
            </w:r>
          </w:p>
        </w:tc>
      </w:tr>
      <w:tr w:rsidR="00837D39" w:rsidRPr="000F467F" w14:paraId="5A7C65C6" w14:textId="77777777" w:rsidTr="004A35DA">
        <w:tc>
          <w:tcPr>
            <w:tcW w:w="9355" w:type="dxa"/>
          </w:tcPr>
          <w:p w14:paraId="18A058D3" w14:textId="19FE8C31" w:rsidR="00837D39" w:rsidRPr="000F467F" w:rsidRDefault="00837D39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SPONSOR NAME:</w:t>
            </w:r>
          </w:p>
        </w:tc>
      </w:tr>
      <w:tr w:rsidR="00E0006B" w:rsidRPr="000F467F" w14:paraId="5A61A124" w14:textId="77777777" w:rsidTr="004A35DA">
        <w:tc>
          <w:tcPr>
            <w:tcW w:w="9355" w:type="dxa"/>
          </w:tcPr>
          <w:p w14:paraId="2CAF411C" w14:textId="6FCA6EF6" w:rsidR="00E0006B" w:rsidRPr="000F467F" w:rsidRDefault="00613C6C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LAW FIRM:</w:t>
            </w:r>
          </w:p>
        </w:tc>
      </w:tr>
      <w:tr w:rsidR="00E0006B" w:rsidRPr="000F467F" w14:paraId="66F72967" w14:textId="77777777" w:rsidTr="004A35DA">
        <w:tc>
          <w:tcPr>
            <w:tcW w:w="9355" w:type="dxa"/>
          </w:tcPr>
          <w:p w14:paraId="7D4BFB5D" w14:textId="0AC00335" w:rsidR="00E0006B" w:rsidRPr="000F467F" w:rsidRDefault="00613C6C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LAW FIRM ATTORNEY NAME AND CONTACT INFORMATION:</w:t>
            </w:r>
          </w:p>
        </w:tc>
      </w:tr>
      <w:tr w:rsidR="00E0006B" w:rsidRPr="000F467F" w14:paraId="0FC0E911" w14:textId="77777777" w:rsidTr="004A35DA">
        <w:trPr>
          <w:trHeight w:val="287"/>
        </w:trPr>
        <w:tc>
          <w:tcPr>
            <w:tcW w:w="9355" w:type="dxa"/>
          </w:tcPr>
          <w:p w14:paraId="32FC2FC2" w14:textId="726FA14D" w:rsidR="00E0006B" w:rsidRPr="000F467F" w:rsidRDefault="00613C6C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REVIEW DATE:</w:t>
            </w:r>
          </w:p>
        </w:tc>
      </w:tr>
    </w:tbl>
    <w:p w14:paraId="1F3AB21E" w14:textId="77777777" w:rsidR="00F71262" w:rsidRPr="000F467F" w:rsidRDefault="00F71262" w:rsidP="001A4440">
      <w:pPr>
        <w:spacing w:after="24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5125"/>
      </w:tblGrid>
      <w:tr w:rsidR="00F71262" w:rsidRPr="000F467F" w14:paraId="739AFC51" w14:textId="77777777" w:rsidTr="00932F8B">
        <w:tc>
          <w:tcPr>
            <w:tcW w:w="9355" w:type="dxa"/>
            <w:gridSpan w:val="2"/>
            <w:shd w:val="clear" w:color="auto" w:fill="DEEAF6" w:themeFill="accent5" w:themeFillTint="33"/>
          </w:tcPr>
          <w:p w14:paraId="1A957AF6" w14:textId="0DE2AF45" w:rsidR="00660E0B" w:rsidRPr="000F467F" w:rsidRDefault="00660E0B" w:rsidP="00660E0B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color w:val="000000" w:themeColor="text1"/>
              </w:rPr>
              <w:t>GENERAL INFORMATION</w:t>
            </w:r>
          </w:p>
        </w:tc>
      </w:tr>
      <w:tr w:rsidR="00EB4FAE" w:rsidRPr="000F467F" w14:paraId="1251D6B5" w14:textId="77777777" w:rsidTr="008A2897">
        <w:tc>
          <w:tcPr>
            <w:tcW w:w="4230" w:type="dxa"/>
          </w:tcPr>
          <w:p w14:paraId="52F914EB" w14:textId="14349184" w:rsidR="00EB4FAE" w:rsidRPr="000F467F" w:rsidRDefault="00D308FA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TIF PROGRAM AND TERM OF TIF</w:t>
            </w:r>
          </w:p>
        </w:tc>
        <w:tc>
          <w:tcPr>
            <w:tcW w:w="5125" w:type="dxa"/>
          </w:tcPr>
          <w:p w14:paraId="38A44E05" w14:textId="77777777" w:rsidR="00EB4FAE" w:rsidRPr="000F467F" w:rsidRDefault="00EB4FAE" w:rsidP="000D00B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1262" w:rsidRPr="000F467F" w14:paraId="194A0C47" w14:textId="77777777" w:rsidTr="008A2897">
        <w:tc>
          <w:tcPr>
            <w:tcW w:w="4230" w:type="dxa"/>
          </w:tcPr>
          <w:p w14:paraId="34F25B96" w14:textId="152A1FED" w:rsidR="009C31E5" w:rsidRPr="000F467F" w:rsidRDefault="00D308FA" w:rsidP="000930A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NAME OF AUTHORITY AND ORGANIZATIONAL EXISTENCE</w:t>
            </w:r>
          </w:p>
        </w:tc>
        <w:tc>
          <w:tcPr>
            <w:tcW w:w="5125" w:type="dxa"/>
          </w:tcPr>
          <w:p w14:paraId="50B05F6F" w14:textId="4C6483CD" w:rsidR="009C31E5" w:rsidRPr="000F467F" w:rsidRDefault="009C31E5" w:rsidP="000D00B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736DD" w:rsidRPr="000F467F" w14:paraId="5CD3CF0F" w14:textId="77777777" w:rsidTr="008A2897">
        <w:tc>
          <w:tcPr>
            <w:tcW w:w="4230" w:type="dxa"/>
          </w:tcPr>
          <w:p w14:paraId="1CC344B5" w14:textId="7EDF8760" w:rsidR="008736DD" w:rsidRPr="000F467F" w:rsidRDefault="00D308FA" w:rsidP="00BA6E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ENABLING STATUTE (STATE OR MUNICIPAL/LOCAL)</w:t>
            </w:r>
          </w:p>
        </w:tc>
        <w:tc>
          <w:tcPr>
            <w:tcW w:w="5125" w:type="dxa"/>
          </w:tcPr>
          <w:p w14:paraId="0A2F8A28" w14:textId="77777777" w:rsidR="008736DD" w:rsidRPr="000F467F" w:rsidRDefault="008736DD" w:rsidP="000D00B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B3F3F" w:rsidRPr="000F467F" w14:paraId="49C7A608" w14:textId="77777777" w:rsidTr="008A2897">
        <w:tc>
          <w:tcPr>
            <w:tcW w:w="4230" w:type="dxa"/>
          </w:tcPr>
          <w:p w14:paraId="6D7C02F2" w14:textId="5B163F70" w:rsidR="00DB3F3F" w:rsidRPr="000F467F" w:rsidRDefault="00D308FA" w:rsidP="00BA6E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TITLE AND DATE OF DEVELOPMENT AGREEMENT/REDEVELOPMENT AGREEMENT (AND RECORDING INFORMATION IF APPLICABLE)</w:t>
            </w:r>
          </w:p>
        </w:tc>
        <w:tc>
          <w:tcPr>
            <w:tcW w:w="5125" w:type="dxa"/>
          </w:tcPr>
          <w:p w14:paraId="4989E29E" w14:textId="77777777" w:rsidR="00DB3F3F" w:rsidRPr="000F467F" w:rsidRDefault="00DB3F3F" w:rsidP="000D00B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274B3" w:rsidRPr="000F467F" w14:paraId="3DD76DEE" w14:textId="77777777" w:rsidTr="008A2897">
        <w:tc>
          <w:tcPr>
            <w:tcW w:w="4230" w:type="dxa"/>
          </w:tcPr>
          <w:p w14:paraId="6784E7A2" w14:textId="0A87BD2C" w:rsidR="006274B3" w:rsidRPr="000F467F" w:rsidRDefault="00D308FA" w:rsidP="00BA6E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TITLE, DATE AND ORIGINAL PRINCIPAL BALANCE OF NOTE</w:t>
            </w:r>
          </w:p>
        </w:tc>
        <w:tc>
          <w:tcPr>
            <w:tcW w:w="5125" w:type="dxa"/>
          </w:tcPr>
          <w:p w14:paraId="70B72A1C" w14:textId="77777777" w:rsidR="006274B3" w:rsidRPr="000F467F" w:rsidRDefault="006274B3" w:rsidP="000D00B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7CC1" w:rsidRPr="000F467F" w14:paraId="3EA0A9B8" w14:textId="77777777" w:rsidTr="008A2897">
        <w:tc>
          <w:tcPr>
            <w:tcW w:w="4230" w:type="dxa"/>
          </w:tcPr>
          <w:p w14:paraId="586441DE" w14:textId="3C0ECE60" w:rsidR="00DD7CC1" w:rsidRPr="000F467F" w:rsidRDefault="006B5996" w:rsidP="00BA6E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AMOUNT OF PRINCIPAL PAID </w:t>
            </w:r>
            <w:r w:rsidR="00D308FA"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UNDER THE NOTE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TO DATE </w:t>
            </w:r>
            <w:r w:rsidR="00D308FA"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(AS OF THE REVIEW DATE)</w:t>
            </w:r>
          </w:p>
        </w:tc>
        <w:tc>
          <w:tcPr>
            <w:tcW w:w="5125" w:type="dxa"/>
          </w:tcPr>
          <w:p w14:paraId="193FC621" w14:textId="77777777" w:rsidR="00DD7CC1" w:rsidRPr="000F467F" w:rsidRDefault="00DD7CC1" w:rsidP="000D00B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1262" w:rsidRPr="000F467F" w14:paraId="70D9B027" w14:textId="77777777" w:rsidTr="008A2897">
        <w:tc>
          <w:tcPr>
            <w:tcW w:w="4230" w:type="dxa"/>
          </w:tcPr>
          <w:p w14:paraId="7C34540B" w14:textId="18C92202" w:rsidR="00BA6E6B" w:rsidRPr="000F467F" w:rsidRDefault="00D308FA" w:rsidP="00BA6E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UP</w:t>
            </w:r>
            <w:r w:rsidR="00DB2E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</w:t>
            </w: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REMAINING TO BE PAID UNDER THE NOTE (AS OF THE REVIEW DATE)</w:t>
            </w:r>
          </w:p>
        </w:tc>
        <w:tc>
          <w:tcPr>
            <w:tcW w:w="5125" w:type="dxa"/>
          </w:tcPr>
          <w:p w14:paraId="7E893596" w14:textId="5E2C5461" w:rsidR="00BA6E6B" w:rsidRPr="000F467F" w:rsidRDefault="00BA6E6B" w:rsidP="000D00B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B216C" w:rsidRPr="000F467F" w14:paraId="422DA39C" w14:textId="77777777" w:rsidTr="008A2897">
        <w:tc>
          <w:tcPr>
            <w:tcW w:w="4230" w:type="dxa"/>
          </w:tcPr>
          <w:p w14:paraId="209A6B85" w14:textId="6D2F7AB9" w:rsidR="000B216C" w:rsidRPr="000F467F" w:rsidRDefault="00D308FA" w:rsidP="00BA6E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ANTICIPATED LAST PAYMENT DATE UNDER THE NOTE AND NOTE MATURITY DATE</w:t>
            </w:r>
          </w:p>
        </w:tc>
        <w:tc>
          <w:tcPr>
            <w:tcW w:w="5125" w:type="dxa"/>
          </w:tcPr>
          <w:p w14:paraId="5F1BA249" w14:textId="77777777" w:rsidR="000B216C" w:rsidRPr="000F467F" w:rsidRDefault="000B216C" w:rsidP="000D00B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C235E" w:rsidRPr="000F467F" w14:paraId="200C7E8D" w14:textId="77777777" w:rsidTr="008A2897">
        <w:tc>
          <w:tcPr>
            <w:tcW w:w="4230" w:type="dxa"/>
          </w:tcPr>
          <w:p w14:paraId="01169827" w14:textId="16D8C0C8" w:rsidR="000C235E" w:rsidRPr="000F467F" w:rsidRDefault="000C235E" w:rsidP="00BA6E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LIST ANY OTHER DOCUMENTS EVIDENCING THE TIF</w:t>
            </w:r>
          </w:p>
        </w:tc>
        <w:tc>
          <w:tcPr>
            <w:tcW w:w="5125" w:type="dxa"/>
          </w:tcPr>
          <w:p w14:paraId="5AD7B375" w14:textId="77777777" w:rsidR="000C235E" w:rsidRPr="000F467F" w:rsidRDefault="000C235E" w:rsidP="000D00B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6679C2" w14:textId="77777777" w:rsidR="00932F8B" w:rsidRPr="000F467F" w:rsidRDefault="00932F8B" w:rsidP="001A4440">
      <w:pPr>
        <w:spacing w:after="240"/>
        <w:rPr>
          <w:rFonts w:ascii="Times New Roman" w:hAnsi="Times New Roman" w:cs="Times New Roman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2297"/>
        <w:gridCol w:w="2951"/>
        <w:gridCol w:w="894"/>
        <w:gridCol w:w="701"/>
        <w:gridCol w:w="3417"/>
      </w:tblGrid>
      <w:tr w:rsidR="00932F8B" w:rsidRPr="000F467F" w14:paraId="6B922AF1" w14:textId="77777777" w:rsidTr="000F467F">
        <w:trPr>
          <w:tblHeader/>
        </w:trPr>
        <w:tc>
          <w:tcPr>
            <w:tcW w:w="10260" w:type="dxa"/>
            <w:gridSpan w:val="5"/>
            <w:shd w:val="clear" w:color="auto" w:fill="FFF2CC" w:themeFill="accent4" w:themeFillTint="33"/>
          </w:tcPr>
          <w:p w14:paraId="119A67F0" w14:textId="7270207A" w:rsidR="00932F8B" w:rsidRPr="000F467F" w:rsidRDefault="00932F8B" w:rsidP="00BA6E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OBLIGATIONS UNDER THE TIF DOCUMENTS</w:t>
            </w:r>
          </w:p>
        </w:tc>
      </w:tr>
      <w:tr w:rsidR="005C4651" w:rsidRPr="000F467F" w14:paraId="5BD3DBAD" w14:textId="77777777" w:rsidTr="006B5996">
        <w:trPr>
          <w:tblHeader/>
        </w:trPr>
        <w:tc>
          <w:tcPr>
            <w:tcW w:w="2297" w:type="dxa"/>
          </w:tcPr>
          <w:p w14:paraId="0C191A93" w14:textId="34068463" w:rsidR="00932F8B" w:rsidRPr="000F467F" w:rsidRDefault="00932F8B" w:rsidP="00BA6E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SUBJECT MATTER</w:t>
            </w:r>
          </w:p>
        </w:tc>
        <w:tc>
          <w:tcPr>
            <w:tcW w:w="2951" w:type="dxa"/>
          </w:tcPr>
          <w:p w14:paraId="35193449" w14:textId="44BFD675" w:rsidR="00932F8B" w:rsidRPr="000F467F" w:rsidRDefault="00932F8B" w:rsidP="00BA6E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REQUIREMENT</w:t>
            </w:r>
          </w:p>
        </w:tc>
        <w:tc>
          <w:tcPr>
            <w:tcW w:w="1595" w:type="dxa"/>
            <w:gridSpan w:val="2"/>
          </w:tcPr>
          <w:p w14:paraId="22F79C27" w14:textId="4A3FDCFB" w:rsidR="00932F8B" w:rsidRPr="000F467F" w:rsidRDefault="00932F8B" w:rsidP="00BA6E6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SELECT Y/N</w:t>
            </w:r>
          </w:p>
        </w:tc>
        <w:tc>
          <w:tcPr>
            <w:tcW w:w="3417" w:type="dxa"/>
          </w:tcPr>
          <w:p w14:paraId="102E5086" w14:textId="0F0D6E31" w:rsidR="00932F8B" w:rsidRPr="000F467F" w:rsidRDefault="00932F8B" w:rsidP="00BA6E6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ANALYSIS/MITIGATION SUMMARY</w:t>
            </w:r>
          </w:p>
        </w:tc>
      </w:tr>
      <w:tr w:rsidR="005C4651" w:rsidRPr="000F467F" w14:paraId="0070E1AB" w14:textId="77777777" w:rsidTr="006B5996">
        <w:tc>
          <w:tcPr>
            <w:tcW w:w="2297" w:type="dxa"/>
          </w:tcPr>
          <w:p w14:paraId="0B7ACEFC" w14:textId="181EE274" w:rsidR="00932F8B" w:rsidRPr="000F467F" w:rsidDel="000422CC" w:rsidRDefault="000C235E" w:rsidP="000F467F">
            <w:pPr>
              <w:pStyle w:val="ListParagraph"/>
              <w:numPr>
                <w:ilvl w:val="0"/>
                <w:numId w:val="7"/>
              </w:numPr>
              <w:ind w:left="528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23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Conditions to Payment / Continuing Obligations</w:t>
            </w:r>
            <w:r w:rsidR="000E0B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/ No Existing Default</w:t>
            </w:r>
          </w:p>
        </w:tc>
        <w:tc>
          <w:tcPr>
            <w:tcW w:w="2951" w:type="dxa"/>
          </w:tcPr>
          <w:p w14:paraId="3C8E6929" w14:textId="1F0FFA24" w:rsidR="00BF6902" w:rsidRPr="000F467F" w:rsidRDefault="00BF6902" w:rsidP="00BF6902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BF6902">
              <w:rPr>
                <w:rFonts w:ascii="Times New Roman" w:hAnsi="Times New Roman" w:cs="Times New Roman"/>
                <w:color w:val="000000" w:themeColor="text1"/>
              </w:rPr>
              <w:t>All material conditions precedent to issuance and payment of the TIF have been satisfied</w:t>
            </w:r>
            <w:r w:rsidR="007D73C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0E0BA3" w:rsidRPr="000E0BA3">
              <w:rPr>
                <w:rFonts w:ascii="Times New Roman" w:hAnsi="Times New Roman" w:cs="Times New Roman"/>
                <w:color w:val="000000" w:themeColor="text1"/>
              </w:rPr>
              <w:t>Borrower is not in default under any TIF Document</w:t>
            </w:r>
            <w:r w:rsidR="007D73C2">
              <w:rPr>
                <w:rFonts w:ascii="Times New Roman" w:hAnsi="Times New Roman" w:cs="Times New Roman"/>
                <w:color w:val="000000" w:themeColor="text1"/>
              </w:rPr>
              <w:t>]</w:t>
            </w:r>
            <w:r w:rsidR="000E0BA3" w:rsidRPr="000E0BA3">
              <w:rPr>
                <w:rFonts w:ascii="Times New Roman" w:hAnsi="Times New Roman" w:cs="Times New Roman"/>
                <w:color w:val="000000" w:themeColor="text1"/>
              </w:rPr>
              <w:t>, and no continuing obligation under the TIF Documents (including cost certification, completion, reporting, affordability, maintenance, public-benefit, or transfer-approval requirements) remains unsatisfied in a manner that could terminate, suspend, recapture, offset, or materially reduce the TIF.</w:t>
            </w:r>
          </w:p>
        </w:tc>
        <w:tc>
          <w:tcPr>
            <w:tcW w:w="894" w:type="dxa"/>
            <w:tcBorders>
              <w:top w:val="nil"/>
              <w:bottom w:val="single" w:sz="4" w:space="0" w:color="auto"/>
              <w:right w:val="nil"/>
            </w:tcBorders>
          </w:tcPr>
          <w:p w14:paraId="6D6311C8" w14:textId="77777777" w:rsidR="00932F8B" w:rsidRPr="000F467F" w:rsidRDefault="00932F8B" w:rsidP="00EC656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3E651340" w14:textId="392B9C6B" w:rsidR="00932F8B" w:rsidRPr="000F467F" w:rsidRDefault="00932F8B" w:rsidP="00EC656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</w:tcPr>
          <w:p w14:paraId="63FFC92A" w14:textId="77777777" w:rsidR="00932F8B" w:rsidRPr="000F467F" w:rsidRDefault="005D70B5" w:rsidP="00EC656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0AF8B3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6pt">
                  <v:imagedata r:id="rId8" o:title=""/>
                </v:shape>
              </w:pict>
            </w:r>
          </w:p>
          <w:p w14:paraId="46A0516C" w14:textId="66D5326A" w:rsidR="00932F8B" w:rsidRPr="000F467F" w:rsidRDefault="005D70B5" w:rsidP="008A2897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0217BECF">
                <v:shape id="_x0000_i1026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</w:tcPr>
          <w:p w14:paraId="0F60678A" w14:textId="4C425FBD" w:rsidR="00932F8B" w:rsidRPr="000F467F" w:rsidRDefault="000C235E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C235E">
              <w:rPr>
                <w:rFonts w:ascii="Times New Roman" w:hAnsi="Times New Roman" w:cs="Times New Roman"/>
                <w:color w:val="000000" w:themeColor="text1"/>
              </w:rPr>
              <w:t>[If “No,” identify each remaining item</w:t>
            </w:r>
            <w:r w:rsidR="00102C38">
              <w:rPr>
                <w:rFonts w:ascii="Times New Roman" w:hAnsi="Times New Roman" w:cs="Times New Roman"/>
                <w:color w:val="000000" w:themeColor="text1"/>
              </w:rPr>
              <w:t xml:space="preserve"> or default</w:t>
            </w:r>
            <w:r w:rsidRPr="000C235E">
              <w:rPr>
                <w:rFonts w:ascii="Times New Roman" w:hAnsi="Times New Roman" w:cs="Times New Roman"/>
                <w:color w:val="000000" w:themeColor="text1"/>
              </w:rPr>
              <w:t xml:space="preserve">, its deadline/status, </w:t>
            </w:r>
            <w:r w:rsidR="00102C38">
              <w:rPr>
                <w:rFonts w:ascii="Times New Roman" w:hAnsi="Times New Roman" w:cs="Times New Roman"/>
                <w:color w:val="000000" w:themeColor="text1"/>
              </w:rPr>
              <w:t xml:space="preserve">any applicable cure period, </w:t>
            </w:r>
            <w:r w:rsidRPr="000C235E">
              <w:rPr>
                <w:rFonts w:ascii="Times New Roman" w:hAnsi="Times New Roman" w:cs="Times New Roman"/>
                <w:color w:val="000000" w:themeColor="text1"/>
              </w:rPr>
              <w:t>whether satisfaction is within Borrower’s control, and whether Lender/mortgagee has notice and cure rights.]</w:t>
            </w:r>
          </w:p>
        </w:tc>
      </w:tr>
      <w:tr w:rsidR="005C4651" w:rsidRPr="000F467F" w14:paraId="63A1ED1E" w14:textId="77777777" w:rsidTr="006B5996">
        <w:tc>
          <w:tcPr>
            <w:tcW w:w="2297" w:type="dxa"/>
          </w:tcPr>
          <w:p w14:paraId="5932B4FD" w14:textId="081FCBEE" w:rsidR="000F467F" w:rsidRPr="00DC489E" w:rsidDel="000422CC" w:rsidRDefault="000F467F" w:rsidP="00DC489E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48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Borrower Reimbursement</w:t>
            </w:r>
          </w:p>
        </w:tc>
        <w:tc>
          <w:tcPr>
            <w:tcW w:w="2951" w:type="dxa"/>
          </w:tcPr>
          <w:p w14:paraId="4E120D05" w14:textId="27FD2C66" w:rsidR="00102C38" w:rsidRPr="000F467F" w:rsidRDefault="00102C38" w:rsidP="000F467F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102C38">
              <w:rPr>
                <w:rFonts w:ascii="Times New Roman" w:hAnsi="Times New Roman" w:cs="Times New Roman"/>
                <w:color w:val="000000" w:themeColor="text1"/>
              </w:rPr>
              <w:t>The TIF payments represent reimbursement of previously incurred eligible costs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94" w:type="dxa"/>
            <w:tcBorders>
              <w:top w:val="nil"/>
              <w:bottom w:val="single" w:sz="4" w:space="0" w:color="auto"/>
              <w:right w:val="nil"/>
            </w:tcBorders>
          </w:tcPr>
          <w:p w14:paraId="1630D31E" w14:textId="77777777" w:rsidR="000F467F" w:rsidRPr="000F467F" w:rsidRDefault="000F467F" w:rsidP="000F467F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258A4E50" w14:textId="591C7D40" w:rsidR="000F467F" w:rsidRPr="000F467F" w:rsidRDefault="000F467F" w:rsidP="000F467F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  <w:bottom w:val="single" w:sz="4" w:space="0" w:color="auto"/>
            </w:tcBorders>
          </w:tcPr>
          <w:p w14:paraId="7F196A53" w14:textId="77777777" w:rsidR="000F467F" w:rsidRPr="000F467F" w:rsidRDefault="005D70B5" w:rsidP="000F467F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65896B06">
                <v:shape id="_x0000_i1027" type="#_x0000_t75" style="width:12pt;height:16pt">
                  <v:imagedata r:id="rId8" o:title=""/>
                </v:shape>
              </w:pict>
            </w:r>
          </w:p>
          <w:p w14:paraId="45EB1034" w14:textId="0D10F129" w:rsidR="000F467F" w:rsidRPr="000F467F" w:rsidRDefault="005D70B5" w:rsidP="000F467F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63DBB772">
                <v:shape id="_x0000_i1028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65D97D1F" w14:textId="02E5FA29" w:rsidR="000F467F" w:rsidRPr="000F467F" w:rsidRDefault="00102C38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[If “No</w:t>
            </w:r>
            <w:r w:rsidR="007D73C2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="007D73C2">
              <w:rPr>
                <w:rFonts w:ascii="Times New Roman" w:hAnsi="Times New Roman" w:cs="Times New Roman"/>
                <w:color w:val="000000" w:themeColor="text1"/>
              </w:rPr>
              <w:t xml:space="preserve"> describe </w:t>
            </w:r>
            <w:r w:rsidR="007D73C2" w:rsidRPr="007D73C2">
              <w:rPr>
                <w:rFonts w:ascii="Times New Roman" w:hAnsi="Times New Roman" w:cs="Times New Roman"/>
                <w:color w:val="000000" w:themeColor="text1"/>
              </w:rPr>
              <w:t>the structure of the payment right and any remaining conditions to payment</w:t>
            </w:r>
            <w:r w:rsidR="007D73C2">
              <w:rPr>
                <w:rFonts w:ascii="Times New Roman" w:hAnsi="Times New Roman" w:cs="Times New Roman"/>
                <w:color w:val="000000" w:themeColor="text1"/>
              </w:rPr>
              <w:t>.]</w:t>
            </w:r>
          </w:p>
        </w:tc>
      </w:tr>
      <w:tr w:rsidR="005C4651" w:rsidRPr="000F467F" w14:paraId="37256559" w14:textId="77777777" w:rsidTr="006B5996">
        <w:tc>
          <w:tcPr>
            <w:tcW w:w="2297" w:type="dxa"/>
          </w:tcPr>
          <w:p w14:paraId="4E3B97D3" w14:textId="1A8148F4" w:rsidR="000F467F" w:rsidRPr="00DC489E" w:rsidDel="000422CC" w:rsidRDefault="00C9655E" w:rsidP="00DC489E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48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 Authority Remedies</w:t>
            </w:r>
          </w:p>
        </w:tc>
        <w:tc>
          <w:tcPr>
            <w:tcW w:w="2951" w:type="dxa"/>
          </w:tcPr>
          <w:p w14:paraId="7CA6E177" w14:textId="724D79CD" w:rsidR="000F467F" w:rsidRPr="000F467F" w:rsidRDefault="000F467F" w:rsidP="000F467F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The Authority has no remedies against Borrower or the Mortgaged Property (</w:t>
            </w:r>
            <w:proofErr w:type="gramStart"/>
            <w:r w:rsidRPr="000F467F">
              <w:rPr>
                <w:rFonts w:ascii="Times New Roman" w:hAnsi="Times New Roman" w:cs="Times New Roman"/>
                <w:color w:val="000000" w:themeColor="text1"/>
              </w:rPr>
              <w:t>include</w:t>
            </w:r>
            <w:proofErr w:type="gramEnd"/>
            <w:r w:rsidRPr="000F467F">
              <w:rPr>
                <w:rFonts w:ascii="Times New Roman" w:hAnsi="Times New Roman" w:cs="Times New Roman"/>
                <w:color w:val="000000" w:themeColor="text1"/>
              </w:rPr>
              <w:t xml:space="preserve"> any ability to claw back funds or place a lien on the Mortgaged Property, if applicable).</w:t>
            </w:r>
          </w:p>
        </w:tc>
        <w:tc>
          <w:tcPr>
            <w:tcW w:w="894" w:type="dxa"/>
            <w:tcBorders>
              <w:right w:val="nil"/>
            </w:tcBorders>
          </w:tcPr>
          <w:p w14:paraId="3F7D4C36" w14:textId="77777777" w:rsidR="000F467F" w:rsidRPr="000F467F" w:rsidRDefault="000F467F" w:rsidP="000F467F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29247F1A" w14:textId="0C509740" w:rsidR="000F467F" w:rsidRPr="000F467F" w:rsidRDefault="000F467F" w:rsidP="000F467F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712355E8" w14:textId="77777777" w:rsidR="000F467F" w:rsidRPr="000F467F" w:rsidRDefault="005D70B5" w:rsidP="000F467F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1DB45F64">
                <v:shape id="_x0000_i1029" type="#_x0000_t75" style="width:12pt;height:16pt">
                  <v:imagedata r:id="rId8" o:title=""/>
                </v:shape>
              </w:pict>
            </w:r>
          </w:p>
          <w:p w14:paraId="782CDF6F" w14:textId="73A395AC" w:rsidR="000F467F" w:rsidRPr="000F467F" w:rsidRDefault="005D70B5" w:rsidP="000F467F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2BBC4803">
                <v:shape id="_x0000_i1030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14:paraId="6C84A11A" w14:textId="77777777" w:rsidR="000F467F" w:rsidRPr="000F467F" w:rsidRDefault="000F467F" w:rsidP="000F46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D655B" w:rsidRPr="000F467F" w14:paraId="261B1C23" w14:textId="77777777" w:rsidTr="006B5996">
        <w:tc>
          <w:tcPr>
            <w:tcW w:w="2297" w:type="dxa"/>
          </w:tcPr>
          <w:p w14:paraId="781941D9" w14:textId="5DFC63C5" w:rsidR="000D655B" w:rsidRPr="00DC489E" w:rsidRDefault="000D655B" w:rsidP="000D655B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 Suspension, Reduction, or Recapture of TIF Payments</w:t>
            </w:r>
          </w:p>
        </w:tc>
        <w:tc>
          <w:tcPr>
            <w:tcW w:w="2951" w:type="dxa"/>
          </w:tcPr>
          <w:p w14:paraId="7C002853" w14:textId="58FB83FA" w:rsidR="000D655B" w:rsidRPr="000F467F" w:rsidRDefault="000D655B" w:rsidP="000D655B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60BA7">
              <w:rPr>
                <w:rFonts w:ascii="Times New Roman" w:hAnsi="Times New Roman" w:cs="Times New Roman"/>
                <w:color w:val="000000" w:themeColor="text1"/>
              </w:rPr>
              <w:t xml:space="preserve">The TIF Documents do not permit suspension, reduction, recapture, withholding or offset of TIF payments because of tax protests, assessment challenges, abatements, exemptions, </w:t>
            </w:r>
            <w:r w:rsidRPr="00F60BA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deferrals, classification changes, or similar actions by Borrower </w:t>
            </w:r>
            <w:r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Pr="00F60BA7">
              <w:rPr>
                <w:rFonts w:ascii="Times New Roman" w:hAnsi="Times New Roman" w:cs="Times New Roman"/>
                <w:color w:val="000000" w:themeColor="text1"/>
              </w:rPr>
              <w:t>or, if they do, those consequences are specifically identified and addressed in the Loan Documents</w:t>
            </w:r>
            <w:r>
              <w:rPr>
                <w:rFonts w:ascii="Times New Roman" w:hAnsi="Times New Roman" w:cs="Times New Roman"/>
                <w:color w:val="000000" w:themeColor="text1"/>
              </w:rPr>
              <w:t>]</w:t>
            </w:r>
            <w:r w:rsidRPr="00F60BA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94" w:type="dxa"/>
            <w:tcBorders>
              <w:right w:val="nil"/>
            </w:tcBorders>
          </w:tcPr>
          <w:p w14:paraId="6DA8965D" w14:textId="77777777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lastRenderedPageBreak/>
              <w:t>Yes</w:t>
            </w:r>
          </w:p>
          <w:p w14:paraId="2D17FA28" w14:textId="779D5B07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47D979E5" w14:textId="77777777" w:rsidR="000D655B" w:rsidRPr="000F467F" w:rsidRDefault="005D70B5" w:rsidP="000D655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6ABA1573">
                <v:shape id="_x0000_i1031" type="#_x0000_t75" style="width:12pt;height:16pt">
                  <v:imagedata r:id="rId8" o:title=""/>
                </v:shape>
              </w:pict>
            </w:r>
          </w:p>
          <w:p w14:paraId="0BE489B4" w14:textId="7D261756" w:rsidR="000D655B" w:rsidRDefault="005D70B5" w:rsidP="000D655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7FD5CAFE">
                <v:shape id="_x0000_i1032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14:paraId="59838892" w14:textId="4872CB9A" w:rsidR="000D655B" w:rsidRPr="000F467F" w:rsidRDefault="000D655B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F60BA7">
              <w:rPr>
                <w:rFonts w:ascii="Times New Roman" w:hAnsi="Times New Roman" w:cs="Times New Roman"/>
                <w:color w:val="000000" w:themeColor="text1"/>
              </w:rPr>
              <w:t>[If “No,” describe the restriction and the proposed mitigant.]</w:t>
            </w:r>
          </w:p>
        </w:tc>
      </w:tr>
      <w:tr w:rsidR="000D655B" w:rsidRPr="000F467F" w14:paraId="0560B221" w14:textId="77777777" w:rsidTr="006B5996">
        <w:tc>
          <w:tcPr>
            <w:tcW w:w="2297" w:type="dxa"/>
          </w:tcPr>
          <w:p w14:paraId="290572D1" w14:textId="67742D30" w:rsidR="000D655B" w:rsidRPr="00DC489E" w:rsidDel="000422CC" w:rsidRDefault="000D655B" w:rsidP="000D655B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Source of TIF Payments</w:t>
            </w:r>
          </w:p>
        </w:tc>
        <w:tc>
          <w:tcPr>
            <w:tcW w:w="2951" w:type="dxa"/>
          </w:tcPr>
          <w:p w14:paraId="3A780D57" w14:textId="554019C8" w:rsidR="000D655B" w:rsidRPr="000F467F" w:rsidRDefault="005A23B4" w:rsidP="000D655B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To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625C">
              <w:rPr>
                <w:rFonts w:ascii="Times New Roman" w:hAnsi="Times New Roman" w:cs="Times New Roman"/>
                <w:color w:val="000000" w:themeColor="text1"/>
              </w:rPr>
              <w:t>the knowledge of the preparer and based on information from Borrower or Borrower’s counsel</w:t>
            </w:r>
            <w:r>
              <w:rPr>
                <w:rFonts w:ascii="Times New Roman" w:hAnsi="Times New Roman" w:cs="Times New Roman"/>
                <w:color w:val="000000" w:themeColor="text1"/>
              </w:rPr>
              <w:t>, t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he Authority is expected to be sufficiently funded to pay all remaining obligations under the Note.</w:t>
            </w:r>
          </w:p>
        </w:tc>
        <w:tc>
          <w:tcPr>
            <w:tcW w:w="894" w:type="dxa"/>
            <w:tcBorders>
              <w:right w:val="nil"/>
            </w:tcBorders>
          </w:tcPr>
          <w:p w14:paraId="6B1B1806" w14:textId="77777777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0A0ADC79" w14:textId="0AC735EA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73D4E5CF" w14:textId="58ED4D52" w:rsidR="000D655B" w:rsidRPr="000F467F" w:rsidRDefault="005D70B5" w:rsidP="000D655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7E1680B1">
                <v:shape id="_x0000_i1033" type="#_x0000_t75" style="width:12pt;height:16pt">
                  <v:imagedata r:id="rId8" o:title=""/>
                </v:shape>
              </w:pict>
            </w:r>
          </w:p>
          <w:p w14:paraId="5AC38C53" w14:textId="48E3D39A" w:rsidR="000D655B" w:rsidRPr="000F467F" w:rsidRDefault="005D70B5" w:rsidP="000D655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40540F1F">
                <v:shape id="_x0000_i1034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14:paraId="2AA48A77" w14:textId="7D72DFEE" w:rsidR="000D655B" w:rsidRPr="000F467F" w:rsidRDefault="000D655B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[NOTE:  </w:t>
            </w:r>
            <w:r w:rsidRPr="00F60BA7">
              <w:rPr>
                <w:rFonts w:ascii="Times New Roman" w:hAnsi="Times New Roman" w:cs="Times New Roman"/>
                <w:color w:val="000000" w:themeColor="text1"/>
              </w:rPr>
              <w:t xml:space="preserve">Counsel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must </w:t>
            </w:r>
            <w:r w:rsidRPr="00F60BA7">
              <w:rPr>
                <w:rFonts w:ascii="Times New Roman" w:hAnsi="Times New Roman" w:cs="Times New Roman"/>
                <w:color w:val="000000" w:themeColor="text1"/>
              </w:rPr>
              <w:t>identif</w:t>
            </w:r>
            <w:r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F60BA7">
              <w:rPr>
                <w:rFonts w:ascii="Times New Roman" w:hAnsi="Times New Roman" w:cs="Times New Roman"/>
                <w:color w:val="000000" w:themeColor="text1"/>
              </w:rPr>
              <w:t xml:space="preserve"> the legal source of payment and all material structural limitations on payment, including whether payments are limited to available increment, subject to annual appropriation, contingent on cost certification/completion or other conditions precedent, subject to offsets / recapture / administrative fees, or subordinate to prior or parity obligations.</w:t>
            </w:r>
            <w:r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0D655B" w:rsidRPr="000F467F" w14:paraId="181AD303" w14:textId="77777777" w:rsidTr="006B5996">
        <w:tc>
          <w:tcPr>
            <w:tcW w:w="2297" w:type="dxa"/>
          </w:tcPr>
          <w:p w14:paraId="4F05C906" w14:textId="5FBAEE45" w:rsidR="000D655B" w:rsidRPr="00DC489E" w:rsidDel="000422CC" w:rsidRDefault="00064617" w:rsidP="000D655B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TIF is not Crossed with other Properties </w:t>
            </w:r>
          </w:p>
        </w:tc>
        <w:tc>
          <w:tcPr>
            <w:tcW w:w="2951" w:type="dxa"/>
          </w:tcPr>
          <w:p w14:paraId="7A44C803" w14:textId="72460C8F" w:rsidR="000D655B" w:rsidRPr="000F467F" w:rsidRDefault="000D655B" w:rsidP="000D655B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 xml:space="preserve">The TIF </w:t>
            </w: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 xml:space="preserve">ocuments do not encumber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or affect 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any properties other than the Mortgaged Property.</w:t>
            </w:r>
          </w:p>
        </w:tc>
        <w:tc>
          <w:tcPr>
            <w:tcW w:w="894" w:type="dxa"/>
            <w:tcBorders>
              <w:right w:val="nil"/>
            </w:tcBorders>
          </w:tcPr>
          <w:p w14:paraId="53E8C638" w14:textId="77777777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3BBA0869" w14:textId="176C0650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3B462F49" w14:textId="77777777" w:rsidR="000D655B" w:rsidRPr="000F467F" w:rsidRDefault="005D70B5" w:rsidP="000D655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0DFC83BE">
                <v:shape id="_x0000_i1035" type="#_x0000_t75" style="width:12pt;height:16pt">
                  <v:imagedata r:id="rId8" o:title=""/>
                </v:shape>
              </w:pict>
            </w:r>
          </w:p>
          <w:p w14:paraId="6AE17E95" w14:textId="0E90C7B5" w:rsidR="000D655B" w:rsidRPr="000F467F" w:rsidRDefault="005D70B5" w:rsidP="000D655B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2B56C812">
                <v:shape id="_x0000_i1036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</w:tcBorders>
          </w:tcPr>
          <w:p w14:paraId="67C1FD2F" w14:textId="2F8CDF93" w:rsidR="000D655B" w:rsidRPr="000F467F" w:rsidRDefault="000E0BA3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E0BA3">
              <w:rPr>
                <w:rFonts w:ascii="Times New Roman" w:hAnsi="Times New Roman" w:cs="Times New Roman"/>
                <w:color w:val="000000" w:themeColor="text1"/>
              </w:rPr>
              <w:t>[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NOTE: </w:t>
            </w:r>
            <w:r w:rsidRPr="000E0BA3">
              <w:rPr>
                <w:rFonts w:ascii="Times New Roman" w:hAnsi="Times New Roman" w:cs="Times New Roman"/>
                <w:color w:val="000000" w:themeColor="text1"/>
              </w:rPr>
              <w:t>Describe any such dependencies or obligations.]</w:t>
            </w:r>
          </w:p>
        </w:tc>
      </w:tr>
      <w:tr w:rsidR="000D655B" w:rsidRPr="000F467F" w14:paraId="544E1857" w14:textId="77777777" w:rsidTr="006B5996">
        <w:tc>
          <w:tcPr>
            <w:tcW w:w="2297" w:type="dxa"/>
          </w:tcPr>
          <w:p w14:paraId="42BB3422" w14:textId="010D2359" w:rsidR="000D655B" w:rsidRPr="00DC489E" w:rsidDel="000422CC" w:rsidRDefault="000D655B" w:rsidP="000D655B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Collateral Assignability</w:t>
            </w:r>
          </w:p>
        </w:tc>
        <w:tc>
          <w:tcPr>
            <w:tcW w:w="2951" w:type="dxa"/>
          </w:tcPr>
          <w:p w14:paraId="70F817A9" w14:textId="339788C4" w:rsidR="000D655B" w:rsidRPr="000F467F" w:rsidRDefault="000D655B" w:rsidP="000D655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B3B">
              <w:rPr>
                <w:rFonts w:ascii="Times New Roman" w:hAnsi="Times New Roman" w:cs="Times New Roman"/>
                <w:color w:val="000000" w:themeColor="text1"/>
              </w:rPr>
              <w:t>The payment rights under the TIF Documents are assignable to Lender for collateral purpose</w:t>
            </w:r>
            <w:r>
              <w:rPr>
                <w:rFonts w:ascii="Times New Roman" w:hAnsi="Times New Roman" w:cs="Times New Roman"/>
                <w:color w:val="000000" w:themeColor="text1"/>
              </w:rPr>
              <w:t>s without consent.</w:t>
            </w:r>
          </w:p>
        </w:tc>
        <w:tc>
          <w:tcPr>
            <w:tcW w:w="894" w:type="dxa"/>
            <w:tcBorders>
              <w:right w:val="nil"/>
            </w:tcBorders>
          </w:tcPr>
          <w:p w14:paraId="49810EE0" w14:textId="77777777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78B0A381" w14:textId="263AD64C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4B30028F" w14:textId="77777777" w:rsidR="000D655B" w:rsidRPr="000F467F" w:rsidRDefault="005D70B5" w:rsidP="000D655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4D363B65">
                <v:shape id="_x0000_i1037" type="#_x0000_t75" style="width:12pt;height:16pt">
                  <v:imagedata r:id="rId8" o:title=""/>
                </v:shape>
              </w:pict>
            </w:r>
          </w:p>
          <w:p w14:paraId="2B7D8878" w14:textId="0BDF058A" w:rsidR="000D655B" w:rsidRPr="000F467F" w:rsidRDefault="005D70B5" w:rsidP="000D655B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34917486">
                <v:shape id="_x0000_i1038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</w:tcBorders>
          </w:tcPr>
          <w:p w14:paraId="69C0844A" w14:textId="3DBE10B0" w:rsidR="000D655B" w:rsidRDefault="000D655B" w:rsidP="005A23B4">
            <w:pPr>
              <w:spacing w:before="120" w:after="24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[NOTE: provide details or conditions for assignment, if any, and </w:t>
            </w:r>
            <w:r w:rsidRPr="009F4B3B">
              <w:rPr>
                <w:rFonts w:ascii="Times New Roman" w:hAnsi="Times New Roman" w:cs="Times New Roman"/>
                <w:color w:val="000000" w:themeColor="text1"/>
              </w:rPr>
              <w:t>identif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y any </w:t>
            </w:r>
            <w:r w:rsidRPr="009F4B3B">
              <w:rPr>
                <w:rFonts w:ascii="Times New Roman" w:hAnsi="Times New Roman" w:cs="Times New Roman"/>
                <w:color w:val="000000" w:themeColor="text1"/>
              </w:rPr>
              <w:t>required consent, acknowledgment, approval, fee, opinion, endorsement, registration, reissuance, surrender, or other condition necessary to perfect and enforce such assignment.</w:t>
            </w:r>
            <w:r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14:paraId="09E94022" w14:textId="3F92FCE4" w:rsidR="000D655B" w:rsidRPr="000F467F" w:rsidRDefault="000D655B" w:rsidP="005A23B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B70413">
              <w:rPr>
                <w:rFonts w:ascii="Times New Roman" w:hAnsi="Times New Roman" w:cs="Times New Roman"/>
                <w:color w:val="000000" w:themeColor="text1"/>
              </w:rPr>
              <w:t>[If “No,” state whether equivalent rights will be added in Form 6418 or a separate Authority recognition agreement.]</w:t>
            </w:r>
          </w:p>
        </w:tc>
      </w:tr>
      <w:tr w:rsidR="000D655B" w:rsidRPr="000F467F" w14:paraId="0CF6AE36" w14:textId="77777777" w:rsidTr="006B5996">
        <w:tc>
          <w:tcPr>
            <w:tcW w:w="2297" w:type="dxa"/>
          </w:tcPr>
          <w:p w14:paraId="0143C336" w14:textId="2F2AC06C" w:rsidR="000D655B" w:rsidRPr="00DC489E" w:rsidDel="000422CC" w:rsidRDefault="000D655B" w:rsidP="000D655B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48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TIF Payments</w:t>
            </w:r>
          </w:p>
        </w:tc>
        <w:tc>
          <w:tcPr>
            <w:tcW w:w="2951" w:type="dxa"/>
          </w:tcPr>
          <w:p w14:paraId="7B00F7E1" w14:textId="473FF356" w:rsidR="000D655B" w:rsidRPr="000F467F" w:rsidRDefault="000D655B" w:rsidP="000D655B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TIF payments are made in the form of cash</w:t>
            </w:r>
            <w:r w:rsidR="00155E83">
              <w:rPr>
                <w:rFonts w:ascii="Times New Roman" w:hAnsi="Times New Roman" w:cs="Times New Roman"/>
                <w:color w:val="000000" w:themeColor="text1"/>
              </w:rPr>
              <w:t>, wire,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 xml:space="preserve"> or fund transfers to Borrower.</w:t>
            </w:r>
          </w:p>
        </w:tc>
        <w:tc>
          <w:tcPr>
            <w:tcW w:w="894" w:type="dxa"/>
            <w:tcBorders>
              <w:right w:val="nil"/>
            </w:tcBorders>
          </w:tcPr>
          <w:p w14:paraId="0E86DE7C" w14:textId="77777777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6F327F87" w14:textId="3A3BF408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7B708750" w14:textId="77777777" w:rsidR="000D655B" w:rsidRPr="000F467F" w:rsidRDefault="005D70B5" w:rsidP="000D655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38CCBBC3">
                <v:shape id="_x0000_i1039" type="#_x0000_t75" style="width:12pt;height:16pt">
                  <v:imagedata r:id="rId8" o:title=""/>
                </v:shape>
              </w:pict>
            </w:r>
          </w:p>
          <w:p w14:paraId="7F534391" w14:textId="2703F516" w:rsidR="000D655B" w:rsidRPr="000F467F" w:rsidRDefault="005D70B5" w:rsidP="000D655B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214BFE89">
                <v:shape id="_x0000_i1040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</w:tcBorders>
          </w:tcPr>
          <w:p w14:paraId="385416AD" w14:textId="0F439555" w:rsidR="000D655B" w:rsidRPr="000F467F" w:rsidRDefault="000D655B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[If “No</w:t>
            </w:r>
            <w:r w:rsidR="00F923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 xml:space="preserve">” </w:t>
            </w:r>
            <w:r w:rsidR="002A352D">
              <w:rPr>
                <w:rFonts w:ascii="Times New Roman" w:hAnsi="Times New Roman" w:cs="Times New Roman"/>
                <w:color w:val="000000" w:themeColor="text1"/>
              </w:rPr>
              <w:t xml:space="preserve">describe 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 xml:space="preserve">how they </w:t>
            </w:r>
            <w:r w:rsidR="002A352D">
              <w:rPr>
                <w:rFonts w:ascii="Times New Roman" w:hAnsi="Times New Roman" w:cs="Times New Roman"/>
                <w:color w:val="000000" w:themeColor="text1"/>
              </w:rPr>
              <w:t xml:space="preserve">are 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made</w:t>
            </w:r>
            <w:r w:rsidR="002A352D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0D655B" w:rsidRPr="000F467F" w14:paraId="54D40064" w14:textId="77777777" w:rsidTr="006B5996">
        <w:tc>
          <w:tcPr>
            <w:tcW w:w="2297" w:type="dxa"/>
          </w:tcPr>
          <w:p w14:paraId="06B80941" w14:textId="16851798" w:rsidR="000D655B" w:rsidRPr="00DC489E" w:rsidDel="000422CC" w:rsidRDefault="000D655B" w:rsidP="000D655B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48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 Previous TIF Assignment</w:t>
            </w:r>
          </w:p>
        </w:tc>
        <w:tc>
          <w:tcPr>
            <w:tcW w:w="2951" w:type="dxa"/>
          </w:tcPr>
          <w:p w14:paraId="7A30151A" w14:textId="6A929F6E" w:rsidR="000D655B" w:rsidRPr="000F467F" w:rsidRDefault="000D655B" w:rsidP="000D655B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The Development Agreement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Redevelopment Agreement and Note ha</w:t>
            </w:r>
            <w:r>
              <w:rPr>
                <w:rFonts w:ascii="Times New Roman" w:hAnsi="Times New Roman" w:cs="Times New Roman"/>
                <w:color w:val="000000" w:themeColor="text1"/>
              </w:rPr>
              <w:t>ve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 xml:space="preserve"> not been previously assigned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94" w:type="dxa"/>
            <w:tcBorders>
              <w:right w:val="nil"/>
            </w:tcBorders>
          </w:tcPr>
          <w:p w14:paraId="57E56B0B" w14:textId="77777777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21A67292" w14:textId="290DA941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6F036B20" w14:textId="77777777" w:rsidR="000D655B" w:rsidRPr="000F467F" w:rsidRDefault="005D70B5" w:rsidP="000D655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52421D2F">
                <v:shape id="_x0000_i1041" type="#_x0000_t75" style="width:12pt;height:16pt">
                  <v:imagedata r:id="rId8" o:title=""/>
                </v:shape>
              </w:pict>
            </w:r>
          </w:p>
          <w:p w14:paraId="098602B7" w14:textId="71318D9A" w:rsidR="000D655B" w:rsidRPr="000F467F" w:rsidRDefault="005D70B5" w:rsidP="000D655B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4D667781">
                <v:shape id="_x0000_i1042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</w:tcBorders>
          </w:tcPr>
          <w:p w14:paraId="7522D861" w14:textId="303C2AD2" w:rsidR="000D655B" w:rsidRPr="000F467F" w:rsidRDefault="000D655B" w:rsidP="005A23B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[If “No</w:t>
            </w:r>
            <w:r w:rsidR="00F923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 xml:space="preserve">” and there has been an assignment, please provide details, including whether such assignment 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lastRenderedPageBreak/>
              <w:t>will be terminated on the Effective Date.]</w:t>
            </w:r>
          </w:p>
        </w:tc>
      </w:tr>
      <w:tr w:rsidR="000D655B" w:rsidRPr="000F467F" w14:paraId="47C1C567" w14:textId="77777777" w:rsidTr="006B5996">
        <w:tc>
          <w:tcPr>
            <w:tcW w:w="2297" w:type="dxa"/>
          </w:tcPr>
          <w:p w14:paraId="2293186E" w14:textId="095BA330" w:rsidR="000D655B" w:rsidRPr="00DC489E" w:rsidDel="000422CC" w:rsidRDefault="000D655B" w:rsidP="000D655B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TIF </w:t>
            </w:r>
            <w:r w:rsidRPr="00DC48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Survives Foreclosure</w:t>
            </w:r>
          </w:p>
        </w:tc>
        <w:tc>
          <w:tcPr>
            <w:tcW w:w="2951" w:type="dxa"/>
          </w:tcPr>
          <w:p w14:paraId="7F38F34B" w14:textId="5766A875" w:rsidR="000D655B" w:rsidRPr="000F467F" w:rsidRDefault="000D655B" w:rsidP="000D655B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64239">
              <w:rPr>
                <w:rFonts w:ascii="Times New Roman" w:hAnsi="Times New Roman" w:cs="Times New Roman"/>
                <w:color w:val="000000" w:themeColor="text1"/>
              </w:rPr>
              <w:t>A foreclosure, deed in lieu of foreclosure, appointment of a receiver, transfer to Lender or its designee, or subsequent transfer by a foreclosing mortgagee will not, by itself, terminate, suspend, reduce, recapture, or otherwise impair the TIF payments or the Authority’s obligations under the TIF Documents.</w:t>
            </w:r>
          </w:p>
        </w:tc>
        <w:tc>
          <w:tcPr>
            <w:tcW w:w="894" w:type="dxa"/>
            <w:tcBorders>
              <w:right w:val="nil"/>
            </w:tcBorders>
          </w:tcPr>
          <w:p w14:paraId="1065139B" w14:textId="77777777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48AE868E" w14:textId="0C22EDFF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23DF1198" w14:textId="4410385D" w:rsidR="000D655B" w:rsidRPr="000F467F" w:rsidRDefault="005D70B5" w:rsidP="000D655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773C1B06">
                <v:shape id="_x0000_i1043" type="#_x0000_t75" style="width:12pt;height:16pt">
                  <v:imagedata r:id="rId8" o:title=""/>
                </v:shape>
              </w:pict>
            </w:r>
          </w:p>
          <w:p w14:paraId="4CA14CFB" w14:textId="17C7D50D" w:rsidR="000D655B" w:rsidRPr="000F467F" w:rsidRDefault="005D70B5" w:rsidP="000D655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57E5BF0C">
                <v:shape id="_x0000_i1044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</w:tcBorders>
          </w:tcPr>
          <w:p w14:paraId="46DA8233" w14:textId="28625430" w:rsidR="000D655B" w:rsidRPr="000F467F" w:rsidRDefault="000D655B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D64239">
              <w:rPr>
                <w:rFonts w:ascii="Times New Roman" w:hAnsi="Times New Roman" w:cs="Times New Roman"/>
                <w:color w:val="000000" w:themeColor="text1"/>
              </w:rPr>
              <w:t>[If “No,” describe the consequence and the proposed mitigant.]</w:t>
            </w:r>
          </w:p>
        </w:tc>
      </w:tr>
      <w:tr w:rsidR="000D655B" w:rsidRPr="000F467F" w14:paraId="4C7A1C89" w14:textId="77777777" w:rsidTr="006B5996">
        <w:tc>
          <w:tcPr>
            <w:tcW w:w="2297" w:type="dxa"/>
          </w:tcPr>
          <w:p w14:paraId="02C869BE" w14:textId="779D7B42" w:rsidR="000D655B" w:rsidRDefault="000D655B" w:rsidP="000D655B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Mortgagee Protections</w:t>
            </w:r>
          </w:p>
        </w:tc>
        <w:tc>
          <w:tcPr>
            <w:tcW w:w="2951" w:type="dxa"/>
          </w:tcPr>
          <w:p w14:paraId="5D8D60B5" w14:textId="04FC7F36" w:rsidR="000D655B" w:rsidRPr="00D64239" w:rsidRDefault="000D655B" w:rsidP="000D655B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D64239">
              <w:rPr>
                <w:rFonts w:ascii="Times New Roman" w:hAnsi="Times New Roman" w:cs="Times New Roman"/>
                <w:color w:val="000000" w:themeColor="text1"/>
              </w:rPr>
              <w:t>The TIF Documents provide Lender/mortgagee with (i) concurrent copies of all defaults and other material notices, (ii) a right, but not an obligation, to cure Borrower defaults, (iii) a reasonable additional cure period for defaults not reasonably susceptible of cure within the original cure period</w:t>
            </w:r>
            <w:r>
              <w:rPr>
                <w:rFonts w:ascii="Times New Roman" w:hAnsi="Times New Roman" w:cs="Times New Roman"/>
                <w:color w:val="000000" w:themeColor="text1"/>
              </w:rPr>
              <w:t>; and</w:t>
            </w:r>
            <w:r w:rsidRPr="009F4B3B">
              <w:rPr>
                <w:rFonts w:ascii="Times New Roman" w:hAnsi="Times New Roman" w:cs="Times New Roman"/>
                <w:color w:val="000000" w:themeColor="text1"/>
              </w:rPr>
              <w:t xml:space="preserve"> (iv) no liability for Borrower’s obligations unless and until Lender or its designee acquires title and expressly assumes applicable obligations.</w:t>
            </w:r>
          </w:p>
        </w:tc>
        <w:tc>
          <w:tcPr>
            <w:tcW w:w="894" w:type="dxa"/>
            <w:tcBorders>
              <w:right w:val="nil"/>
            </w:tcBorders>
          </w:tcPr>
          <w:p w14:paraId="503F7072" w14:textId="77777777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13C3F2ED" w14:textId="2CC9A7F2" w:rsidR="000D655B" w:rsidRPr="000F467F" w:rsidRDefault="000D655B" w:rsidP="000D655B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07AF7765" w14:textId="77777777" w:rsidR="000D655B" w:rsidRPr="000F467F" w:rsidRDefault="005D70B5" w:rsidP="000D655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4F3CC348">
                <v:shape id="_x0000_i1045" type="#_x0000_t75" style="width:12pt;height:16pt">
                  <v:imagedata r:id="rId8" o:title=""/>
                </v:shape>
              </w:pict>
            </w:r>
          </w:p>
          <w:p w14:paraId="5F4B192E" w14:textId="71841091" w:rsidR="000D655B" w:rsidRDefault="005D70B5" w:rsidP="000D655B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691C8F39">
                <v:shape id="_x0000_i1046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</w:tcBorders>
          </w:tcPr>
          <w:p w14:paraId="5F11E48F" w14:textId="633EC466" w:rsidR="000D655B" w:rsidRPr="00D64239" w:rsidRDefault="000D655B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9F4B3B">
              <w:rPr>
                <w:rFonts w:ascii="Times New Roman" w:hAnsi="Times New Roman" w:cs="Times New Roman"/>
                <w:color w:val="000000" w:themeColor="text1"/>
              </w:rPr>
              <w:t>[If “No,” identify the missing protections and whether they will be added by revisions to Form 6418 or by a separate Authority recognition agreement.]</w:t>
            </w:r>
          </w:p>
        </w:tc>
      </w:tr>
      <w:tr w:rsidR="000E0BA3" w:rsidRPr="000F467F" w14:paraId="5BFBD379" w14:textId="77777777" w:rsidTr="006B5996">
        <w:tc>
          <w:tcPr>
            <w:tcW w:w="2297" w:type="dxa"/>
          </w:tcPr>
          <w:p w14:paraId="610B1D38" w14:textId="17D2A185" w:rsidR="000E0BA3" w:rsidRDefault="000E0BA3" w:rsidP="000E0BA3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E0B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Transfer / Change in Control Restrictions</w:t>
            </w:r>
          </w:p>
        </w:tc>
        <w:tc>
          <w:tcPr>
            <w:tcW w:w="2951" w:type="dxa"/>
          </w:tcPr>
          <w:p w14:paraId="026CC769" w14:textId="2FE20DFE" w:rsidR="000E0BA3" w:rsidRPr="00D64239" w:rsidRDefault="000E0BA3" w:rsidP="000E0BA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0E0BA3">
              <w:rPr>
                <w:rFonts w:ascii="Times New Roman" w:hAnsi="Times New Roman" w:cs="Times New Roman"/>
                <w:color w:val="000000" w:themeColor="text1"/>
              </w:rPr>
              <w:t>No transfer of the Mortgaged Property, any direct or indirect interest in Borrower, or any Key Principal/Sponsor change contemplated by the Loan Documents requires Authority consent or would terminate, suspend, recapture, or materially reduce the TIF.</w:t>
            </w:r>
          </w:p>
        </w:tc>
        <w:tc>
          <w:tcPr>
            <w:tcW w:w="894" w:type="dxa"/>
            <w:tcBorders>
              <w:right w:val="nil"/>
            </w:tcBorders>
          </w:tcPr>
          <w:p w14:paraId="55C22A2C" w14:textId="77777777" w:rsidR="000E0BA3" w:rsidRPr="000F467F" w:rsidRDefault="000E0BA3" w:rsidP="000E0BA3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222AC75C" w14:textId="14D8B28E" w:rsidR="000E0BA3" w:rsidRPr="000F467F" w:rsidRDefault="000E0BA3" w:rsidP="000E0BA3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2C2E3FB6" w14:textId="77777777" w:rsidR="000E0BA3" w:rsidRPr="000F467F" w:rsidRDefault="005D70B5" w:rsidP="000E0BA3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5846B086">
                <v:shape id="_x0000_i1047" type="#_x0000_t75" style="width:12pt;height:16pt">
                  <v:imagedata r:id="rId8" o:title=""/>
                </v:shape>
              </w:pict>
            </w:r>
          </w:p>
          <w:p w14:paraId="5E2EE173" w14:textId="054EE3F1" w:rsidR="000E0BA3" w:rsidRDefault="005D70B5" w:rsidP="000E0BA3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2AEEF4B3">
                <v:shape id="_x0000_i1048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</w:tcBorders>
          </w:tcPr>
          <w:p w14:paraId="478BDF21" w14:textId="38A3D612" w:rsidR="000E0BA3" w:rsidRDefault="000E0BA3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E0BA3">
              <w:rPr>
                <w:rFonts w:ascii="Times New Roman" w:hAnsi="Times New Roman" w:cs="Times New Roman"/>
                <w:color w:val="000000" w:themeColor="text1"/>
              </w:rPr>
              <w:t>[If “No,” describe the approval requirement or consequence.]</w:t>
            </w:r>
          </w:p>
        </w:tc>
      </w:tr>
      <w:tr w:rsidR="000E0BA3" w:rsidRPr="000F467F" w14:paraId="1487F261" w14:textId="77777777" w:rsidTr="006B5996">
        <w:tc>
          <w:tcPr>
            <w:tcW w:w="2297" w:type="dxa"/>
          </w:tcPr>
          <w:p w14:paraId="748AAFF2" w14:textId="18FC4CED" w:rsidR="000E0BA3" w:rsidRPr="00DC489E" w:rsidDel="00837D39" w:rsidRDefault="000E0BA3" w:rsidP="000E0BA3">
            <w:pPr>
              <w:pStyle w:val="ListParagraph"/>
              <w:numPr>
                <w:ilvl w:val="0"/>
                <w:numId w:val="7"/>
              </w:numPr>
              <w:spacing w:after="120"/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Payment Redirection</w:t>
            </w:r>
          </w:p>
        </w:tc>
        <w:tc>
          <w:tcPr>
            <w:tcW w:w="2951" w:type="dxa"/>
          </w:tcPr>
          <w:p w14:paraId="2539EDEA" w14:textId="3429A091" w:rsidR="000E0BA3" w:rsidRPr="000F467F" w:rsidRDefault="000E0BA3" w:rsidP="000E0BA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B70413">
              <w:rPr>
                <w:rFonts w:ascii="Times New Roman" w:hAnsi="Times New Roman" w:cs="Times New Roman"/>
                <w:color w:val="000000" w:themeColor="text1"/>
              </w:rPr>
              <w:t xml:space="preserve">Following an Event of Default and Lender’s notice, the Authority will make TIF payments directly to Lender or its designee, without further </w:t>
            </w:r>
            <w:r w:rsidRPr="00B7041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Borrower consent, and the Authority’s books, records, and any note registry </w:t>
            </w:r>
            <w:r w:rsidR="00064617">
              <w:rPr>
                <w:rFonts w:ascii="Times New Roman" w:hAnsi="Times New Roman" w:cs="Times New Roman"/>
                <w:color w:val="000000" w:themeColor="text1"/>
              </w:rPr>
              <w:t xml:space="preserve">(if any) </w:t>
            </w:r>
            <w:r w:rsidRPr="00B70413">
              <w:rPr>
                <w:rFonts w:ascii="Times New Roman" w:hAnsi="Times New Roman" w:cs="Times New Roman"/>
                <w:color w:val="000000" w:themeColor="text1"/>
              </w:rPr>
              <w:t>will reflect such payment direction or transfer as required by the TIF Documents.</w:t>
            </w:r>
          </w:p>
        </w:tc>
        <w:tc>
          <w:tcPr>
            <w:tcW w:w="894" w:type="dxa"/>
            <w:tcBorders>
              <w:right w:val="nil"/>
            </w:tcBorders>
          </w:tcPr>
          <w:p w14:paraId="150D607D" w14:textId="77777777" w:rsidR="000E0BA3" w:rsidRPr="000F467F" w:rsidRDefault="000E0BA3" w:rsidP="000E0BA3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lastRenderedPageBreak/>
              <w:t>Yes</w:t>
            </w:r>
          </w:p>
          <w:p w14:paraId="3A690233" w14:textId="3310F8C6" w:rsidR="000E0BA3" w:rsidRPr="000F467F" w:rsidRDefault="000E0BA3" w:rsidP="000E0BA3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5B396229" w14:textId="77777777" w:rsidR="000E0BA3" w:rsidRPr="000F467F" w:rsidRDefault="005D70B5" w:rsidP="000E0BA3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2B1400AF">
                <v:shape id="_x0000_i1049" type="#_x0000_t75" style="width:12pt;height:16pt">
                  <v:imagedata r:id="rId8" o:title=""/>
                </v:shape>
              </w:pict>
            </w:r>
          </w:p>
          <w:p w14:paraId="69863059" w14:textId="4377B701" w:rsidR="000E0BA3" w:rsidRPr="000F467F" w:rsidRDefault="005D70B5" w:rsidP="000E0BA3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396B0F5E">
                <v:shape id="_x0000_i1050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  <w:tcBorders>
              <w:top w:val="single" w:sz="4" w:space="0" w:color="auto"/>
            </w:tcBorders>
          </w:tcPr>
          <w:p w14:paraId="5BF9ADA8" w14:textId="7B670128" w:rsidR="000E0BA3" w:rsidRPr="000F467F" w:rsidRDefault="000E0BA3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Pr="003503BC">
              <w:rPr>
                <w:rFonts w:ascii="Times New Roman" w:hAnsi="Times New Roman" w:cs="Times New Roman"/>
                <w:color w:val="000000" w:themeColor="text1"/>
              </w:rPr>
              <w:t>If “No,” state whether equivalent rights</w:t>
            </w:r>
            <w:r w:rsidR="00155E83">
              <w:rPr>
                <w:rFonts w:ascii="Times New Roman" w:hAnsi="Times New Roman" w:cs="Times New Roman"/>
                <w:color w:val="000000" w:themeColor="text1"/>
              </w:rPr>
              <w:t xml:space="preserve"> are included</w:t>
            </w:r>
            <w:r w:rsidRPr="003503BC">
              <w:rPr>
                <w:rFonts w:ascii="Times New Roman" w:hAnsi="Times New Roman" w:cs="Times New Roman"/>
                <w:color w:val="000000" w:themeColor="text1"/>
              </w:rPr>
              <w:t xml:space="preserve"> in Form 6418 or </w:t>
            </w:r>
            <w:r w:rsidR="00155E83">
              <w:rPr>
                <w:rFonts w:ascii="Times New Roman" w:hAnsi="Times New Roman" w:cs="Times New Roman"/>
                <w:color w:val="000000" w:themeColor="text1"/>
              </w:rPr>
              <w:t xml:space="preserve">will be added in </w:t>
            </w:r>
            <w:r w:rsidRPr="003503BC">
              <w:rPr>
                <w:rFonts w:ascii="Times New Roman" w:hAnsi="Times New Roman" w:cs="Times New Roman"/>
                <w:color w:val="000000" w:themeColor="text1"/>
              </w:rPr>
              <w:t>a separate Authority recognition agreement.]</w:t>
            </w:r>
          </w:p>
        </w:tc>
      </w:tr>
      <w:tr w:rsidR="000E0BA3" w:rsidRPr="000F467F" w14:paraId="4A5254F6" w14:textId="77777777" w:rsidTr="006B5996">
        <w:tc>
          <w:tcPr>
            <w:tcW w:w="2297" w:type="dxa"/>
          </w:tcPr>
          <w:p w14:paraId="3EFAB2EB" w14:textId="6CD8867D" w:rsidR="000E0BA3" w:rsidRPr="00DC489E" w:rsidDel="00837D39" w:rsidRDefault="000E0BA3" w:rsidP="000E0BA3">
            <w:pPr>
              <w:pStyle w:val="ListParagraph"/>
              <w:numPr>
                <w:ilvl w:val="0"/>
                <w:numId w:val="7"/>
              </w:numPr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48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Authority has Received Form of Collateral Assignment</w:t>
            </w:r>
          </w:p>
        </w:tc>
        <w:tc>
          <w:tcPr>
            <w:tcW w:w="2951" w:type="dxa"/>
          </w:tcPr>
          <w:p w14:paraId="2469A601" w14:textId="17E04825" w:rsidR="000E0BA3" w:rsidRPr="000F467F" w:rsidRDefault="000E0BA3" w:rsidP="005A23B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The Collateral Assignment of [Tax Increment Note] and [Redevelopment Agreement] (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Form 6418</w:t>
            </w:r>
            <w:r>
              <w:rPr>
                <w:rFonts w:ascii="Times New Roman" w:hAnsi="Times New Roman" w:cs="Times New Roman"/>
                <w:color w:val="000000" w:themeColor="text1"/>
              </w:rPr>
              <w:t>),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including the Consent to Collateral Assignment attached thereto, 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has been presented to the Authority</w:t>
            </w:r>
            <w:r w:rsidR="005A23B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94" w:type="dxa"/>
            <w:tcBorders>
              <w:right w:val="nil"/>
            </w:tcBorders>
          </w:tcPr>
          <w:p w14:paraId="643DCAAB" w14:textId="77777777" w:rsidR="000E0BA3" w:rsidRPr="000F467F" w:rsidRDefault="000E0BA3" w:rsidP="000E0BA3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44856245" w14:textId="2D24930E" w:rsidR="000E0BA3" w:rsidRPr="000F467F" w:rsidRDefault="000E0BA3" w:rsidP="000E0BA3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749FA9A9" w14:textId="77777777" w:rsidR="000E0BA3" w:rsidRPr="000F467F" w:rsidRDefault="005D70B5" w:rsidP="000E0BA3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07E44678">
                <v:shape id="_x0000_i1051" type="#_x0000_t75" style="width:12pt;height:16pt">
                  <v:imagedata r:id="rId8" o:title=""/>
                </v:shape>
              </w:pict>
            </w:r>
          </w:p>
          <w:p w14:paraId="6C049369" w14:textId="2C3CAA10" w:rsidR="000E0BA3" w:rsidRPr="000F467F" w:rsidRDefault="005D70B5" w:rsidP="000E0BA3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5B700C95">
                <v:shape id="_x0000_i1052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</w:tcPr>
          <w:p w14:paraId="3E2A3743" w14:textId="2EC48598" w:rsidR="000E0BA3" w:rsidRDefault="000E0BA3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[If “No</w:t>
            </w:r>
            <w:r w:rsidR="00F923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” provide details.]</w:t>
            </w:r>
          </w:p>
          <w:p w14:paraId="04123A46" w14:textId="4C0ADD7E" w:rsidR="000E0BA3" w:rsidRPr="000F467F" w:rsidRDefault="000E0BA3" w:rsidP="000E0BA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[NOTE: </w:t>
            </w:r>
            <w:r w:rsidRPr="00B70413">
              <w:rPr>
                <w:rFonts w:ascii="Times New Roman" w:hAnsi="Times New Roman" w:cs="Times New Roman"/>
                <w:color w:val="000000" w:themeColor="text1"/>
              </w:rPr>
              <w:t xml:space="preserve">counsel </w:t>
            </w:r>
            <w:r>
              <w:rPr>
                <w:rFonts w:ascii="Times New Roman" w:hAnsi="Times New Roman" w:cs="Times New Roman"/>
                <w:color w:val="000000" w:themeColor="text1"/>
              </w:rPr>
              <w:t>to list</w:t>
            </w:r>
            <w:r w:rsidRPr="00B70413">
              <w:rPr>
                <w:rFonts w:ascii="Times New Roman" w:hAnsi="Times New Roman" w:cs="Times New Roman"/>
                <w:color w:val="000000" w:themeColor="text1"/>
              </w:rPr>
              <w:t xml:space="preserve"> all approvals, fees, opinions, estoppels, registrations, and other conditions to its execution and enforceability.</w:t>
            </w:r>
            <w:r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</w:tr>
      <w:tr w:rsidR="000E0BA3" w:rsidRPr="000F467F" w14:paraId="0B223EE6" w14:textId="77777777" w:rsidTr="006B5996">
        <w:tc>
          <w:tcPr>
            <w:tcW w:w="2297" w:type="dxa"/>
          </w:tcPr>
          <w:p w14:paraId="71FDD30F" w14:textId="75D18F14" w:rsidR="000E0BA3" w:rsidRPr="00DC489E" w:rsidDel="00837D39" w:rsidRDefault="000E0BA3" w:rsidP="000E0BA3">
            <w:pPr>
              <w:pStyle w:val="ListParagraph"/>
              <w:numPr>
                <w:ilvl w:val="0"/>
                <w:numId w:val="7"/>
              </w:numPr>
              <w:tabs>
                <w:tab w:val="left" w:pos="720"/>
                <w:tab w:val="left" w:pos="1440"/>
                <w:tab w:val="left" w:pos="2160"/>
                <w:tab w:val="left" w:pos="5760"/>
              </w:tabs>
              <w:spacing w:after="240" w:line="276" w:lineRule="auto"/>
              <w:ind w:left="525" w:hanging="45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48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 Proposed Changes to Collateral Assignment or Consent to Collateral Assignment</w:t>
            </w:r>
          </w:p>
        </w:tc>
        <w:tc>
          <w:tcPr>
            <w:tcW w:w="2951" w:type="dxa"/>
          </w:tcPr>
          <w:p w14:paraId="5C25669B" w14:textId="6F642265" w:rsidR="000E0BA3" w:rsidRPr="000D655B" w:rsidRDefault="000E0BA3" w:rsidP="000E0BA3">
            <w:pPr>
              <w:tabs>
                <w:tab w:val="left" w:pos="720"/>
                <w:tab w:val="left" w:pos="1440"/>
                <w:tab w:val="left" w:pos="2160"/>
                <w:tab w:val="left" w:pos="5760"/>
              </w:tabs>
              <w:spacing w:after="24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 xml:space="preserve">There are no anticipated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material 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modifications to Form 6418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nor to the Consent to Collateral Assignment attached thereto </w:t>
            </w:r>
            <w:r w:rsidRPr="000D655B">
              <w:rPr>
                <w:rFonts w:ascii="Times New Roman" w:hAnsi="Times New Roman" w:cs="Times New Roman"/>
                <w:color w:val="000000" w:themeColor="text1"/>
              </w:rPr>
              <w:t>other than jurisdiction-specific conforming changes, and there is no known reason the Authority will refuse or condition execution of the same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94" w:type="dxa"/>
            <w:tcBorders>
              <w:right w:val="nil"/>
            </w:tcBorders>
          </w:tcPr>
          <w:p w14:paraId="2178B914" w14:textId="77777777" w:rsidR="000E0BA3" w:rsidRPr="000F467F" w:rsidRDefault="000E0BA3" w:rsidP="000E0BA3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  <w:p w14:paraId="21DE3123" w14:textId="6F2A52BB" w:rsidR="000E0BA3" w:rsidRPr="000F467F" w:rsidRDefault="000E0BA3" w:rsidP="000E0BA3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701" w:type="dxa"/>
            <w:tcBorders>
              <w:left w:val="nil"/>
            </w:tcBorders>
          </w:tcPr>
          <w:p w14:paraId="1B7EF4D2" w14:textId="77777777" w:rsidR="000E0BA3" w:rsidRPr="000F467F" w:rsidRDefault="005D70B5" w:rsidP="000E0BA3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37560B47">
                <v:shape id="_x0000_i1053" type="#_x0000_t75" style="width:12pt;height:16pt">
                  <v:imagedata r:id="rId8" o:title=""/>
                </v:shape>
              </w:pict>
            </w:r>
          </w:p>
          <w:p w14:paraId="640FC39C" w14:textId="7082E3D8" w:rsidR="000E0BA3" w:rsidRPr="000F467F" w:rsidRDefault="005D70B5" w:rsidP="000E0BA3">
            <w:pPr>
              <w:spacing w:before="120" w:after="120"/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4"/>
              </w:rPr>
              <w:pict w14:anchorId="7AFB7330">
                <v:shape id="_x0000_i1054" type="#_x0000_t75" style="width:12pt;height:16pt">
                  <v:imagedata r:id="rId8" o:title=""/>
                </v:shape>
              </w:pict>
            </w:r>
          </w:p>
        </w:tc>
        <w:tc>
          <w:tcPr>
            <w:tcW w:w="3417" w:type="dxa"/>
          </w:tcPr>
          <w:p w14:paraId="4BD024D8" w14:textId="4445D609" w:rsidR="000E0BA3" w:rsidRPr="000F467F" w:rsidRDefault="000E0BA3" w:rsidP="005A23B4">
            <w:pPr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  <w:r w:rsidRPr="000F467F">
              <w:rPr>
                <w:rFonts w:ascii="Times New Roman" w:hAnsi="Times New Roman" w:cs="Times New Roman"/>
                <w:color w:val="000000" w:themeColor="text1"/>
              </w:rPr>
              <w:t>[If “No</w:t>
            </w:r>
            <w:r w:rsidR="00F9239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F467F">
              <w:rPr>
                <w:rFonts w:ascii="Times New Roman" w:hAnsi="Times New Roman" w:cs="Times New Roman"/>
                <w:color w:val="000000" w:themeColor="text1"/>
              </w:rPr>
              <w:t>” provide details.]</w:t>
            </w:r>
          </w:p>
        </w:tc>
      </w:tr>
    </w:tbl>
    <w:p w14:paraId="69F8C34D" w14:textId="77777777" w:rsidR="000930A5" w:rsidRPr="000F467F" w:rsidRDefault="000930A5" w:rsidP="000930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0930A5" w:rsidRPr="000F467F" w:rsidSect="004A35DA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E64FF" w14:textId="77777777" w:rsidR="009F4722" w:rsidRDefault="009F4722" w:rsidP="003F0721">
      <w:pPr>
        <w:spacing w:after="0" w:line="240" w:lineRule="auto"/>
      </w:pPr>
      <w:r>
        <w:separator/>
      </w:r>
    </w:p>
  </w:endnote>
  <w:endnote w:type="continuationSeparator" w:id="0">
    <w:p w14:paraId="2DC1D6B7" w14:textId="77777777" w:rsidR="009F4722" w:rsidRDefault="009F4722" w:rsidP="003F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0691" w14:textId="10F4351B" w:rsidR="002B28EC" w:rsidRDefault="002B28E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A5FD4B" wp14:editId="2853AB7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17015" cy="357505"/>
              <wp:effectExtent l="0" t="0" r="6985" b="0"/>
              <wp:wrapNone/>
              <wp:docPr id="779050942" name="Text Box 2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7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2BCEA" w14:textId="61764289" w:rsidR="002B28EC" w:rsidRPr="002B28EC" w:rsidRDefault="002B28EC" w:rsidP="002B28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B28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5FD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annie Mae Confidential" style="position:absolute;margin-left:0;margin-top:0;width:119.4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" filled="f" stroked="f">
              <v:textbox style="mso-fit-shape-to-text:t" inset="20pt,0,0,15pt">
                <w:txbxContent>
                  <w:p w14:paraId="3CE2BCEA" w14:textId="61764289" w:rsidR="002B28EC" w:rsidRPr="002B28EC" w:rsidRDefault="002B28EC" w:rsidP="002B28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B28E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9B51" w14:textId="77777777" w:rsidR="004A35DA" w:rsidRPr="004A35DA" w:rsidRDefault="004A35DA" w:rsidP="004A35DA">
    <w:pPr>
      <w:spacing w:after="0"/>
      <w:rPr>
        <w:rFonts w:ascii="Times New Roman" w:hAnsi="Times New Roman" w:cs="Times New Roman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4A35DA" w:rsidRPr="004A35DA" w14:paraId="025B69A9" w14:textId="77777777" w:rsidTr="00AE03C9">
      <w:tc>
        <w:tcPr>
          <w:tcW w:w="4038" w:type="dxa"/>
          <w:vAlign w:val="bottom"/>
        </w:tcPr>
        <w:p w14:paraId="2D060EFF" w14:textId="6B00A18A" w:rsidR="004A35DA" w:rsidRPr="004A35DA" w:rsidRDefault="004A35DA" w:rsidP="004A35DA">
          <w:pPr>
            <w:widowControl w:val="0"/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Tax Increment Financing </w:t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Checklist</w:t>
          </w:r>
        </w:p>
      </w:tc>
      <w:tc>
        <w:tcPr>
          <w:tcW w:w="2460" w:type="dxa"/>
          <w:vAlign w:val="bottom"/>
        </w:tcPr>
        <w:p w14:paraId="5C7A1817" w14:textId="44CBE822" w:rsidR="004A35DA" w:rsidRPr="004A35DA" w:rsidRDefault="004A35DA" w:rsidP="004A35DA">
          <w:pPr>
            <w:widowControl w:val="0"/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Form 6431</w:t>
          </w:r>
        </w:p>
      </w:tc>
      <w:tc>
        <w:tcPr>
          <w:tcW w:w="3192" w:type="dxa"/>
          <w:vAlign w:val="bottom"/>
        </w:tcPr>
        <w:p w14:paraId="52FB00D2" w14:textId="77777777" w:rsidR="004A35DA" w:rsidRPr="004A35DA" w:rsidRDefault="004A35DA" w:rsidP="004A35DA">
          <w:pPr>
            <w:widowControl w:val="0"/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Page </w:t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begin"/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instrText xml:space="preserve"> PAGE </w:instrText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separate"/>
          </w:r>
          <w:r w:rsidRPr="004A35DA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</w:rPr>
            <w:t>1</w:t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end"/>
          </w:r>
        </w:p>
      </w:tc>
    </w:tr>
    <w:tr w:rsidR="004A35DA" w:rsidRPr="004A35DA" w14:paraId="5C47E8CA" w14:textId="77777777" w:rsidTr="00AE03C9">
      <w:tc>
        <w:tcPr>
          <w:tcW w:w="4038" w:type="dxa"/>
          <w:vAlign w:val="bottom"/>
        </w:tcPr>
        <w:p w14:paraId="07F1250E" w14:textId="77777777" w:rsidR="004A35DA" w:rsidRPr="004A35DA" w:rsidRDefault="004A35DA" w:rsidP="004A35DA">
          <w:pPr>
            <w:widowControl w:val="0"/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Fannie Mae</w:t>
          </w:r>
        </w:p>
      </w:tc>
      <w:tc>
        <w:tcPr>
          <w:tcW w:w="2460" w:type="dxa"/>
          <w:vAlign w:val="bottom"/>
        </w:tcPr>
        <w:p w14:paraId="49274774" w14:textId="0A07D4AD" w:rsidR="004A35DA" w:rsidRPr="004A35DA" w:rsidRDefault="00804BE1" w:rsidP="004A35DA">
          <w:pPr>
            <w:widowControl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0</w:t>
          </w:r>
          <w:r w:rsidR="00527D3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6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-26</w:t>
          </w:r>
        </w:p>
      </w:tc>
      <w:tc>
        <w:tcPr>
          <w:tcW w:w="3192" w:type="dxa"/>
          <w:vAlign w:val="bottom"/>
        </w:tcPr>
        <w:p w14:paraId="02ED14E9" w14:textId="2039D3D9" w:rsidR="004A35DA" w:rsidRPr="004A35DA" w:rsidRDefault="004A35DA" w:rsidP="004A35DA">
          <w:pPr>
            <w:widowControl w:val="0"/>
            <w:snapToGri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© 202</w:t>
          </w:r>
          <w:r w:rsidR="00804BE1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6</w:t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Fannie Mae</w:t>
          </w:r>
        </w:p>
      </w:tc>
    </w:tr>
  </w:tbl>
  <w:p w14:paraId="771AAD4E" w14:textId="241DA291" w:rsidR="003F0721" w:rsidRPr="004A35DA" w:rsidRDefault="003F0721" w:rsidP="004A35DA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80A7" w14:textId="77777777" w:rsidR="004A35DA" w:rsidRPr="00932F8B" w:rsidRDefault="004A35DA" w:rsidP="004A35DA">
    <w:pPr>
      <w:spacing w:after="0"/>
      <w:rPr>
        <w:rFonts w:ascii="Times New Roman" w:hAnsi="Times New Roman" w:cs="Times New Roman"/>
        <w:sz w:val="24"/>
        <w:szCs w:val="24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4A35DA" w:rsidRPr="004A35DA" w14:paraId="7160E6CD" w14:textId="77777777" w:rsidTr="00AE03C9">
      <w:tc>
        <w:tcPr>
          <w:tcW w:w="4038" w:type="dxa"/>
          <w:vAlign w:val="bottom"/>
        </w:tcPr>
        <w:p w14:paraId="4A7F51F8" w14:textId="77777777" w:rsidR="004A35DA" w:rsidRPr="004A35DA" w:rsidRDefault="004A35DA" w:rsidP="004A35DA">
          <w:pPr>
            <w:widowControl w:val="0"/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Tax Increment Financing </w:t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Checklist</w:t>
          </w:r>
        </w:p>
      </w:tc>
      <w:tc>
        <w:tcPr>
          <w:tcW w:w="2460" w:type="dxa"/>
          <w:vAlign w:val="bottom"/>
        </w:tcPr>
        <w:p w14:paraId="117885FE" w14:textId="77777777" w:rsidR="004A35DA" w:rsidRPr="004A35DA" w:rsidRDefault="004A35DA" w:rsidP="004A35DA">
          <w:pPr>
            <w:widowControl w:val="0"/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Form 6431</w:t>
          </w:r>
        </w:p>
      </w:tc>
      <w:tc>
        <w:tcPr>
          <w:tcW w:w="3192" w:type="dxa"/>
          <w:vAlign w:val="bottom"/>
        </w:tcPr>
        <w:p w14:paraId="57B90E28" w14:textId="77777777" w:rsidR="004A35DA" w:rsidRPr="004A35DA" w:rsidRDefault="004A35DA" w:rsidP="004A35DA">
          <w:pPr>
            <w:widowControl w:val="0"/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Page </w:t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begin"/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instrText xml:space="preserve"> PAGE </w:instrText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1</w:t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fldChar w:fldCharType="end"/>
          </w:r>
        </w:p>
      </w:tc>
    </w:tr>
    <w:tr w:rsidR="00804BE1" w:rsidRPr="004A35DA" w14:paraId="649094E0" w14:textId="77777777" w:rsidTr="00AE03C9">
      <w:tc>
        <w:tcPr>
          <w:tcW w:w="4038" w:type="dxa"/>
          <w:vAlign w:val="bottom"/>
        </w:tcPr>
        <w:p w14:paraId="2D83313F" w14:textId="77777777" w:rsidR="00804BE1" w:rsidRPr="004A35DA" w:rsidRDefault="00804BE1" w:rsidP="00804BE1">
          <w:pPr>
            <w:widowControl w:val="0"/>
            <w:tabs>
              <w:tab w:val="center" w:pos="4320"/>
              <w:tab w:val="right" w:pos="864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Fannie Mae</w:t>
          </w:r>
        </w:p>
      </w:tc>
      <w:tc>
        <w:tcPr>
          <w:tcW w:w="2460" w:type="dxa"/>
          <w:vAlign w:val="bottom"/>
        </w:tcPr>
        <w:p w14:paraId="1D051196" w14:textId="4608263C" w:rsidR="00804BE1" w:rsidRPr="004A35DA" w:rsidRDefault="00804BE1" w:rsidP="00804BE1">
          <w:pPr>
            <w:widowControl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0</w:t>
          </w:r>
          <w:r w:rsidR="00527D3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6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-26</w:t>
          </w:r>
        </w:p>
      </w:tc>
      <w:tc>
        <w:tcPr>
          <w:tcW w:w="3192" w:type="dxa"/>
          <w:vAlign w:val="bottom"/>
        </w:tcPr>
        <w:p w14:paraId="668056D8" w14:textId="50569946" w:rsidR="00804BE1" w:rsidRPr="004A35DA" w:rsidRDefault="00804BE1" w:rsidP="00804BE1">
          <w:pPr>
            <w:widowControl w:val="0"/>
            <w:snapToGrid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© 202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6</w:t>
          </w:r>
          <w:r w:rsidRPr="004A35DA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Fannie Mae</w:t>
          </w:r>
        </w:p>
      </w:tc>
    </w:tr>
  </w:tbl>
  <w:p w14:paraId="390FAB45" w14:textId="486635B7" w:rsidR="002B28EC" w:rsidRPr="00932F8B" w:rsidRDefault="002B28EC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6A80" w14:textId="77777777" w:rsidR="009F4722" w:rsidRDefault="009F4722" w:rsidP="003F0721">
      <w:pPr>
        <w:spacing w:after="0" w:line="240" w:lineRule="auto"/>
      </w:pPr>
      <w:r>
        <w:separator/>
      </w:r>
    </w:p>
  </w:footnote>
  <w:footnote w:type="continuationSeparator" w:id="0">
    <w:p w14:paraId="6ED8690B" w14:textId="77777777" w:rsidR="009F4722" w:rsidRDefault="009F4722" w:rsidP="003F0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96B4" w14:textId="2542E78D" w:rsidR="00BF6902" w:rsidRPr="003010E9" w:rsidRDefault="00BF6902" w:rsidP="0046753D">
    <w:pPr>
      <w:tabs>
        <w:tab w:val="center" w:pos="4680"/>
        <w:tab w:val="right" w:pos="9360"/>
      </w:tabs>
      <w:spacing w:after="240" w:line="240" w:lineRule="auto"/>
      <w:jc w:val="both"/>
      <w:rPr>
        <w:rFonts w:ascii="Times New Roman" w:eastAsia="Calibri" w:hAnsi="Times New Roman" w:cs="Times New Roman"/>
        <w:b/>
        <w:bCs/>
        <w:caps/>
        <w:sz w:val="24"/>
        <w:szCs w:val="24"/>
      </w:rPr>
    </w:pPr>
    <w:r w:rsidRPr="003010E9">
      <w:rPr>
        <w:rFonts w:ascii="Times New Roman" w:eastAsia="Calibri" w:hAnsi="Times New Roman" w:cs="Times New Roman"/>
        <w:b/>
        <w:bCs/>
        <w:caps/>
        <w:sz w:val="24"/>
        <w:szCs w:val="24"/>
      </w:rPr>
      <w:t>[DRAFTING NOTE: For purposes of this Checklist, “Development/Redevelopment Agreement” includes any development agreement, redevelopment agreement, reimbursement agreement, economic development agreement, incentive agreement, brownfield plan/work plan, or similar agreement governing TIF payments; “Note” includes any tax increment note, reimbursement obligation, grant/payment contract, bond, certificate, or other instrument or record evidencing the payment obligation; and “Authority” includes any city, county, authority, agency, commission, or other public body administering the TIF.</w:t>
    </w:r>
    <w:r w:rsidR="000C235E" w:rsidRPr="003010E9">
      <w:rPr>
        <w:rFonts w:ascii="Times New Roman" w:eastAsia="Calibri" w:hAnsi="Times New Roman" w:cs="Times New Roman"/>
        <w:b/>
        <w:bCs/>
        <w:caps/>
        <w:sz w:val="24"/>
        <w:szCs w:val="24"/>
      </w:rPr>
      <w:t xml:space="preserve">  “TIF Documents” means the Development/Redevelopment Agreement, the Note and any other documents evidencing the TIF.</w:t>
    </w:r>
    <w:r w:rsidRPr="003010E9">
      <w:rPr>
        <w:rFonts w:ascii="Times New Roman" w:eastAsia="Calibri" w:hAnsi="Times New Roman" w:cs="Times New Roman"/>
        <w:b/>
        <w:bCs/>
        <w:caps/>
        <w:sz w:val="24"/>
        <w:szCs w:val="24"/>
      </w:rPr>
      <w:t>]</w:t>
    </w:r>
  </w:p>
  <w:p w14:paraId="5B0B04D2" w14:textId="12B9CCE4" w:rsidR="00BF6902" w:rsidRPr="003010E9" w:rsidRDefault="00BF6902" w:rsidP="0046753D">
    <w:pPr>
      <w:tabs>
        <w:tab w:val="center" w:pos="4680"/>
        <w:tab w:val="right" w:pos="9360"/>
      </w:tabs>
      <w:spacing w:after="240" w:line="240" w:lineRule="auto"/>
      <w:jc w:val="both"/>
      <w:rPr>
        <w:rFonts w:ascii="Times New Roman" w:eastAsia="Calibri" w:hAnsi="Times New Roman" w:cs="Times New Roman"/>
        <w:b/>
        <w:bCs/>
        <w:caps/>
        <w:sz w:val="24"/>
        <w:szCs w:val="24"/>
      </w:rPr>
    </w:pPr>
    <w:r w:rsidRPr="003010E9">
      <w:rPr>
        <w:rFonts w:ascii="Times New Roman" w:eastAsia="Calibri" w:hAnsi="Times New Roman" w:cs="Times New Roman"/>
        <w:b/>
        <w:bCs/>
        <w:caps/>
        <w:sz w:val="24"/>
        <w:szCs w:val="24"/>
      </w:rPr>
      <w:t>[DRAFTING NOTE: If no Note has been issued as of the review date, identify the current form of the payment right and all remaining conditions to issuance/payment.]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CC9"/>
    <w:multiLevelType w:val="multilevel"/>
    <w:tmpl w:val="1B18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617EF"/>
    <w:multiLevelType w:val="multilevel"/>
    <w:tmpl w:val="CDCA4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6763F"/>
    <w:multiLevelType w:val="multilevel"/>
    <w:tmpl w:val="AA2CE8A6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3."/>
      <w:lvlJc w:val="left"/>
      <w:pPr>
        <w:ind w:left="14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lowerLetter"/>
      <w:pStyle w:val="Heading4"/>
      <w:lvlText w:val="(%4)"/>
      <w:lvlJc w:val="left"/>
      <w:pPr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9F6773"/>
    <w:multiLevelType w:val="hybridMultilevel"/>
    <w:tmpl w:val="619AD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01DC3"/>
    <w:multiLevelType w:val="hybridMultilevel"/>
    <w:tmpl w:val="07AE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D528A"/>
    <w:multiLevelType w:val="multilevel"/>
    <w:tmpl w:val="63D20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A93044"/>
    <w:multiLevelType w:val="multilevel"/>
    <w:tmpl w:val="B8AA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846251">
    <w:abstractNumId w:val="2"/>
  </w:num>
  <w:num w:numId="2" w16cid:durableId="1170679261">
    <w:abstractNumId w:val="5"/>
    <w:lvlOverride w:ilvl="0">
      <w:startOverride w:val="1"/>
    </w:lvlOverride>
  </w:num>
  <w:num w:numId="3" w16cid:durableId="1863860986">
    <w:abstractNumId w:val="0"/>
    <w:lvlOverride w:ilvl="0">
      <w:startOverride w:val="1"/>
    </w:lvlOverride>
  </w:num>
  <w:num w:numId="4" w16cid:durableId="1389378738">
    <w:abstractNumId w:val="1"/>
    <w:lvlOverride w:ilvl="0">
      <w:startOverride w:val="3"/>
    </w:lvlOverride>
  </w:num>
  <w:num w:numId="5" w16cid:durableId="1552182256">
    <w:abstractNumId w:val="6"/>
    <w:lvlOverride w:ilvl="0">
      <w:startOverride w:val="4"/>
    </w:lvlOverride>
  </w:num>
  <w:num w:numId="6" w16cid:durableId="42870140">
    <w:abstractNumId w:val="3"/>
  </w:num>
  <w:num w:numId="7" w16cid:durableId="1967272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9"/>
    <w:rsid w:val="0000796B"/>
    <w:rsid w:val="00016745"/>
    <w:rsid w:val="00027201"/>
    <w:rsid w:val="00036338"/>
    <w:rsid w:val="000422CC"/>
    <w:rsid w:val="00042616"/>
    <w:rsid w:val="00047AEA"/>
    <w:rsid w:val="00047DEF"/>
    <w:rsid w:val="00053E48"/>
    <w:rsid w:val="00061189"/>
    <w:rsid w:val="00064617"/>
    <w:rsid w:val="00070239"/>
    <w:rsid w:val="00081D9D"/>
    <w:rsid w:val="000930A5"/>
    <w:rsid w:val="000B216C"/>
    <w:rsid w:val="000B421B"/>
    <w:rsid w:val="000C235E"/>
    <w:rsid w:val="000D00BB"/>
    <w:rsid w:val="000D14C7"/>
    <w:rsid w:val="000D655B"/>
    <w:rsid w:val="000D6CE9"/>
    <w:rsid w:val="000E0BA3"/>
    <w:rsid w:val="000E379A"/>
    <w:rsid w:val="000E5D49"/>
    <w:rsid w:val="000E669A"/>
    <w:rsid w:val="000F023A"/>
    <w:rsid w:val="000F066A"/>
    <w:rsid w:val="000F1E6D"/>
    <w:rsid w:val="000F467F"/>
    <w:rsid w:val="00102C38"/>
    <w:rsid w:val="0010467C"/>
    <w:rsid w:val="00104B6F"/>
    <w:rsid w:val="0011608D"/>
    <w:rsid w:val="0011747E"/>
    <w:rsid w:val="00130768"/>
    <w:rsid w:val="00144A59"/>
    <w:rsid w:val="0014545F"/>
    <w:rsid w:val="00155E83"/>
    <w:rsid w:val="00161D16"/>
    <w:rsid w:val="00162424"/>
    <w:rsid w:val="00174E53"/>
    <w:rsid w:val="001836ED"/>
    <w:rsid w:val="00185192"/>
    <w:rsid w:val="00195CEE"/>
    <w:rsid w:val="001A4440"/>
    <w:rsid w:val="001A7DE8"/>
    <w:rsid w:val="001B2178"/>
    <w:rsid w:val="001C3AE8"/>
    <w:rsid w:val="001C58EC"/>
    <w:rsid w:val="001F158A"/>
    <w:rsid w:val="001F160B"/>
    <w:rsid w:val="001F3BED"/>
    <w:rsid w:val="001F431B"/>
    <w:rsid w:val="002061F3"/>
    <w:rsid w:val="00213B4F"/>
    <w:rsid w:val="00217431"/>
    <w:rsid w:val="0023021F"/>
    <w:rsid w:val="0023162D"/>
    <w:rsid w:val="00234DF9"/>
    <w:rsid w:val="0023598D"/>
    <w:rsid w:val="00246C12"/>
    <w:rsid w:val="00250079"/>
    <w:rsid w:val="002546AB"/>
    <w:rsid w:val="00254E0B"/>
    <w:rsid w:val="00280A86"/>
    <w:rsid w:val="00281F24"/>
    <w:rsid w:val="00293C75"/>
    <w:rsid w:val="002A139D"/>
    <w:rsid w:val="002A352D"/>
    <w:rsid w:val="002A5518"/>
    <w:rsid w:val="002A5B0C"/>
    <w:rsid w:val="002A6C42"/>
    <w:rsid w:val="002B27BD"/>
    <w:rsid w:val="002B28EC"/>
    <w:rsid w:val="002D2B7A"/>
    <w:rsid w:val="002E1050"/>
    <w:rsid w:val="002E3125"/>
    <w:rsid w:val="002F2945"/>
    <w:rsid w:val="002F6874"/>
    <w:rsid w:val="003010E9"/>
    <w:rsid w:val="00301D0C"/>
    <w:rsid w:val="003108BC"/>
    <w:rsid w:val="003115DA"/>
    <w:rsid w:val="00317581"/>
    <w:rsid w:val="00336902"/>
    <w:rsid w:val="00341D13"/>
    <w:rsid w:val="003503BC"/>
    <w:rsid w:val="003654F8"/>
    <w:rsid w:val="00367F4A"/>
    <w:rsid w:val="00370A2E"/>
    <w:rsid w:val="0038490F"/>
    <w:rsid w:val="00385A74"/>
    <w:rsid w:val="00386FA5"/>
    <w:rsid w:val="00395D46"/>
    <w:rsid w:val="003A035E"/>
    <w:rsid w:val="003C0772"/>
    <w:rsid w:val="003C0AF1"/>
    <w:rsid w:val="003D48FB"/>
    <w:rsid w:val="003D7656"/>
    <w:rsid w:val="003E5383"/>
    <w:rsid w:val="003E5477"/>
    <w:rsid w:val="003E6120"/>
    <w:rsid w:val="003F0721"/>
    <w:rsid w:val="00404154"/>
    <w:rsid w:val="00415B7F"/>
    <w:rsid w:val="00420F59"/>
    <w:rsid w:val="00422E0A"/>
    <w:rsid w:val="00430105"/>
    <w:rsid w:val="00434ACD"/>
    <w:rsid w:val="0045304C"/>
    <w:rsid w:val="00453708"/>
    <w:rsid w:val="00461F33"/>
    <w:rsid w:val="00466A46"/>
    <w:rsid w:val="00466E9A"/>
    <w:rsid w:val="0046753D"/>
    <w:rsid w:val="00471E67"/>
    <w:rsid w:val="00483604"/>
    <w:rsid w:val="00490B3F"/>
    <w:rsid w:val="004A1864"/>
    <w:rsid w:val="004A35DA"/>
    <w:rsid w:val="004A515A"/>
    <w:rsid w:val="004B702A"/>
    <w:rsid w:val="004B7B5D"/>
    <w:rsid w:val="004C08C7"/>
    <w:rsid w:val="004D4023"/>
    <w:rsid w:val="004E1B08"/>
    <w:rsid w:val="004E754B"/>
    <w:rsid w:val="004F7234"/>
    <w:rsid w:val="00520C5C"/>
    <w:rsid w:val="00524042"/>
    <w:rsid w:val="0052549B"/>
    <w:rsid w:val="00525938"/>
    <w:rsid w:val="00525A85"/>
    <w:rsid w:val="0052788C"/>
    <w:rsid w:val="00527D36"/>
    <w:rsid w:val="005311CF"/>
    <w:rsid w:val="00537B80"/>
    <w:rsid w:val="0054485C"/>
    <w:rsid w:val="0054647E"/>
    <w:rsid w:val="005533E9"/>
    <w:rsid w:val="00562C10"/>
    <w:rsid w:val="00563B41"/>
    <w:rsid w:val="00570A5D"/>
    <w:rsid w:val="00575D5B"/>
    <w:rsid w:val="00576C63"/>
    <w:rsid w:val="00591488"/>
    <w:rsid w:val="00596C78"/>
    <w:rsid w:val="005A1940"/>
    <w:rsid w:val="005A23B4"/>
    <w:rsid w:val="005A64F2"/>
    <w:rsid w:val="005B13C9"/>
    <w:rsid w:val="005B5FF9"/>
    <w:rsid w:val="005C4651"/>
    <w:rsid w:val="005D6D04"/>
    <w:rsid w:val="005D70B5"/>
    <w:rsid w:val="005E3A03"/>
    <w:rsid w:val="005E625C"/>
    <w:rsid w:val="005F1FB8"/>
    <w:rsid w:val="005F36E8"/>
    <w:rsid w:val="006009EC"/>
    <w:rsid w:val="00601815"/>
    <w:rsid w:val="00607861"/>
    <w:rsid w:val="00612C88"/>
    <w:rsid w:val="00613C6C"/>
    <w:rsid w:val="006274B3"/>
    <w:rsid w:val="0062755B"/>
    <w:rsid w:val="0063028A"/>
    <w:rsid w:val="0063541D"/>
    <w:rsid w:val="006507D1"/>
    <w:rsid w:val="0065091F"/>
    <w:rsid w:val="00652497"/>
    <w:rsid w:val="00660825"/>
    <w:rsid w:val="00660E0B"/>
    <w:rsid w:val="00661632"/>
    <w:rsid w:val="00661DCB"/>
    <w:rsid w:val="006755C5"/>
    <w:rsid w:val="00695274"/>
    <w:rsid w:val="00695CDB"/>
    <w:rsid w:val="006A2AFD"/>
    <w:rsid w:val="006A3F57"/>
    <w:rsid w:val="006B5996"/>
    <w:rsid w:val="006E176B"/>
    <w:rsid w:val="006F371A"/>
    <w:rsid w:val="007032FE"/>
    <w:rsid w:val="0070579F"/>
    <w:rsid w:val="00712D9E"/>
    <w:rsid w:val="00715CAB"/>
    <w:rsid w:val="007161DC"/>
    <w:rsid w:val="00725FE3"/>
    <w:rsid w:val="00731647"/>
    <w:rsid w:val="00731787"/>
    <w:rsid w:val="00742016"/>
    <w:rsid w:val="007826E9"/>
    <w:rsid w:val="00787264"/>
    <w:rsid w:val="007961FB"/>
    <w:rsid w:val="007B7186"/>
    <w:rsid w:val="007C4241"/>
    <w:rsid w:val="007D638E"/>
    <w:rsid w:val="007D73C2"/>
    <w:rsid w:val="007E2E89"/>
    <w:rsid w:val="007E618D"/>
    <w:rsid w:val="007E63BC"/>
    <w:rsid w:val="007F36F9"/>
    <w:rsid w:val="007F3CF0"/>
    <w:rsid w:val="00804BE1"/>
    <w:rsid w:val="008067DD"/>
    <w:rsid w:val="00811EEC"/>
    <w:rsid w:val="00813471"/>
    <w:rsid w:val="00814369"/>
    <w:rsid w:val="00825399"/>
    <w:rsid w:val="0083171E"/>
    <w:rsid w:val="00831F68"/>
    <w:rsid w:val="00835905"/>
    <w:rsid w:val="00837D39"/>
    <w:rsid w:val="008455FB"/>
    <w:rsid w:val="00847FC3"/>
    <w:rsid w:val="00850BB4"/>
    <w:rsid w:val="00854B38"/>
    <w:rsid w:val="00865350"/>
    <w:rsid w:val="00867B81"/>
    <w:rsid w:val="00871E8F"/>
    <w:rsid w:val="008736DD"/>
    <w:rsid w:val="0087783B"/>
    <w:rsid w:val="008A1A11"/>
    <w:rsid w:val="008A2897"/>
    <w:rsid w:val="008C5886"/>
    <w:rsid w:val="008D219E"/>
    <w:rsid w:val="008E6816"/>
    <w:rsid w:val="008E76DF"/>
    <w:rsid w:val="008F36AD"/>
    <w:rsid w:val="008F380A"/>
    <w:rsid w:val="008F6CE3"/>
    <w:rsid w:val="00932F8B"/>
    <w:rsid w:val="00944CA3"/>
    <w:rsid w:val="0095345A"/>
    <w:rsid w:val="009612A2"/>
    <w:rsid w:val="00965866"/>
    <w:rsid w:val="009658B1"/>
    <w:rsid w:val="00992D33"/>
    <w:rsid w:val="009A04D7"/>
    <w:rsid w:val="009A2DAC"/>
    <w:rsid w:val="009A5D74"/>
    <w:rsid w:val="009A6EA9"/>
    <w:rsid w:val="009B32DC"/>
    <w:rsid w:val="009C2C46"/>
    <w:rsid w:val="009C31E5"/>
    <w:rsid w:val="009C3579"/>
    <w:rsid w:val="009C5716"/>
    <w:rsid w:val="009D2CF9"/>
    <w:rsid w:val="009D58D2"/>
    <w:rsid w:val="009E2369"/>
    <w:rsid w:val="009F4722"/>
    <w:rsid w:val="009F4B3B"/>
    <w:rsid w:val="00A0676F"/>
    <w:rsid w:val="00A07398"/>
    <w:rsid w:val="00A120A0"/>
    <w:rsid w:val="00A16689"/>
    <w:rsid w:val="00A24CD5"/>
    <w:rsid w:val="00A35C08"/>
    <w:rsid w:val="00A44218"/>
    <w:rsid w:val="00A4668F"/>
    <w:rsid w:val="00A46BB2"/>
    <w:rsid w:val="00A566A0"/>
    <w:rsid w:val="00A67900"/>
    <w:rsid w:val="00A67C18"/>
    <w:rsid w:val="00A84824"/>
    <w:rsid w:val="00A87A9F"/>
    <w:rsid w:val="00A97AD3"/>
    <w:rsid w:val="00AB4B27"/>
    <w:rsid w:val="00AB50CE"/>
    <w:rsid w:val="00AC04DB"/>
    <w:rsid w:val="00AC3CD8"/>
    <w:rsid w:val="00AE37A2"/>
    <w:rsid w:val="00AE3A41"/>
    <w:rsid w:val="00AE51A2"/>
    <w:rsid w:val="00AF1CE2"/>
    <w:rsid w:val="00B05CEA"/>
    <w:rsid w:val="00B06BB2"/>
    <w:rsid w:val="00B10C06"/>
    <w:rsid w:val="00B14238"/>
    <w:rsid w:val="00B15095"/>
    <w:rsid w:val="00B15F28"/>
    <w:rsid w:val="00B231D4"/>
    <w:rsid w:val="00B23309"/>
    <w:rsid w:val="00B25110"/>
    <w:rsid w:val="00B333E7"/>
    <w:rsid w:val="00B34B2C"/>
    <w:rsid w:val="00B4028D"/>
    <w:rsid w:val="00B40DD1"/>
    <w:rsid w:val="00B419F5"/>
    <w:rsid w:val="00B51258"/>
    <w:rsid w:val="00B57597"/>
    <w:rsid w:val="00B60B9D"/>
    <w:rsid w:val="00B64BD4"/>
    <w:rsid w:val="00B651CF"/>
    <w:rsid w:val="00B67BEB"/>
    <w:rsid w:val="00B70413"/>
    <w:rsid w:val="00B8139F"/>
    <w:rsid w:val="00B93E6E"/>
    <w:rsid w:val="00BA4AAC"/>
    <w:rsid w:val="00BA5E6D"/>
    <w:rsid w:val="00BA6E6B"/>
    <w:rsid w:val="00BA786A"/>
    <w:rsid w:val="00BB0A2E"/>
    <w:rsid w:val="00BB163D"/>
    <w:rsid w:val="00BB4370"/>
    <w:rsid w:val="00BB610F"/>
    <w:rsid w:val="00BD7753"/>
    <w:rsid w:val="00BE0D52"/>
    <w:rsid w:val="00BE16AC"/>
    <w:rsid w:val="00BF078C"/>
    <w:rsid w:val="00BF6902"/>
    <w:rsid w:val="00C00F76"/>
    <w:rsid w:val="00C0568B"/>
    <w:rsid w:val="00C12238"/>
    <w:rsid w:val="00C23B4F"/>
    <w:rsid w:val="00C23BFC"/>
    <w:rsid w:val="00C24429"/>
    <w:rsid w:val="00C32DEC"/>
    <w:rsid w:val="00C50B73"/>
    <w:rsid w:val="00C57825"/>
    <w:rsid w:val="00C67272"/>
    <w:rsid w:val="00C846FF"/>
    <w:rsid w:val="00C87E02"/>
    <w:rsid w:val="00C95DD0"/>
    <w:rsid w:val="00C9655E"/>
    <w:rsid w:val="00CA08FB"/>
    <w:rsid w:val="00CB2B30"/>
    <w:rsid w:val="00CB60F6"/>
    <w:rsid w:val="00CB7126"/>
    <w:rsid w:val="00CC3831"/>
    <w:rsid w:val="00CC405B"/>
    <w:rsid w:val="00CD025A"/>
    <w:rsid w:val="00CD090F"/>
    <w:rsid w:val="00CD43DD"/>
    <w:rsid w:val="00CE1D7C"/>
    <w:rsid w:val="00CE28AA"/>
    <w:rsid w:val="00CF69E0"/>
    <w:rsid w:val="00CF76F5"/>
    <w:rsid w:val="00D051F7"/>
    <w:rsid w:val="00D0594C"/>
    <w:rsid w:val="00D061B2"/>
    <w:rsid w:val="00D10C17"/>
    <w:rsid w:val="00D12069"/>
    <w:rsid w:val="00D308FA"/>
    <w:rsid w:val="00D3188C"/>
    <w:rsid w:val="00D35379"/>
    <w:rsid w:val="00D42F4C"/>
    <w:rsid w:val="00D46977"/>
    <w:rsid w:val="00D64239"/>
    <w:rsid w:val="00D65948"/>
    <w:rsid w:val="00D827AA"/>
    <w:rsid w:val="00D84554"/>
    <w:rsid w:val="00D8498E"/>
    <w:rsid w:val="00D8635F"/>
    <w:rsid w:val="00D92A5A"/>
    <w:rsid w:val="00DB2CA2"/>
    <w:rsid w:val="00DB2E4A"/>
    <w:rsid w:val="00DB3F3F"/>
    <w:rsid w:val="00DC013F"/>
    <w:rsid w:val="00DC12D0"/>
    <w:rsid w:val="00DC1866"/>
    <w:rsid w:val="00DC19FD"/>
    <w:rsid w:val="00DC1D79"/>
    <w:rsid w:val="00DC489E"/>
    <w:rsid w:val="00DC5081"/>
    <w:rsid w:val="00DD7CC1"/>
    <w:rsid w:val="00DE6A04"/>
    <w:rsid w:val="00DF0150"/>
    <w:rsid w:val="00E0006B"/>
    <w:rsid w:val="00E032D2"/>
    <w:rsid w:val="00E04C4D"/>
    <w:rsid w:val="00E11393"/>
    <w:rsid w:val="00E17C0C"/>
    <w:rsid w:val="00E22181"/>
    <w:rsid w:val="00E25F19"/>
    <w:rsid w:val="00E3753D"/>
    <w:rsid w:val="00E41EA5"/>
    <w:rsid w:val="00E51DBE"/>
    <w:rsid w:val="00E52751"/>
    <w:rsid w:val="00E76D85"/>
    <w:rsid w:val="00E778DE"/>
    <w:rsid w:val="00EA4011"/>
    <w:rsid w:val="00EB018E"/>
    <w:rsid w:val="00EB4FAE"/>
    <w:rsid w:val="00EB74F0"/>
    <w:rsid w:val="00EC656B"/>
    <w:rsid w:val="00EE55B0"/>
    <w:rsid w:val="00EF0B35"/>
    <w:rsid w:val="00EF736C"/>
    <w:rsid w:val="00F22643"/>
    <w:rsid w:val="00F22C76"/>
    <w:rsid w:val="00F479E0"/>
    <w:rsid w:val="00F60BA7"/>
    <w:rsid w:val="00F61F65"/>
    <w:rsid w:val="00F71262"/>
    <w:rsid w:val="00F71ECF"/>
    <w:rsid w:val="00F92393"/>
    <w:rsid w:val="00F92490"/>
    <w:rsid w:val="00F96911"/>
    <w:rsid w:val="00FA7BD7"/>
    <w:rsid w:val="00FB5A24"/>
    <w:rsid w:val="00FB6F4C"/>
    <w:rsid w:val="00FC70EE"/>
    <w:rsid w:val="00FD3B6F"/>
    <w:rsid w:val="00FE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."/>
  <w:listSeparator w:val=","/>
  <w14:docId w14:val="0925163A"/>
  <w15:chartTrackingRefBased/>
  <w15:docId w15:val="{242D5C06-2FB6-48F8-92C4-2859A026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CE3"/>
  </w:style>
  <w:style w:type="paragraph" w:styleId="Heading1">
    <w:name w:val="heading 1"/>
    <w:basedOn w:val="Normal"/>
    <w:next w:val="Normal"/>
    <w:link w:val="Heading1Char"/>
    <w:uiPriority w:val="9"/>
    <w:qFormat/>
    <w:rsid w:val="00C87E02"/>
    <w:pPr>
      <w:keepNext/>
      <w:numPr>
        <w:numId w:val="1"/>
      </w:numPr>
      <w:tabs>
        <w:tab w:val="left" w:pos="0"/>
      </w:tabs>
      <w:spacing w:after="240" w:line="24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87E02"/>
    <w:pPr>
      <w:keepNext/>
      <w:numPr>
        <w:ilvl w:val="1"/>
        <w:numId w:val="1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87E02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E02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Theme="majorEastAsia" w:hAnsi="Times New Roman" w:cs="Times New Roman"/>
      <w:iCs/>
      <w:snapToGrid w:val="0"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721"/>
  </w:style>
  <w:style w:type="paragraph" w:styleId="Footer">
    <w:name w:val="footer"/>
    <w:basedOn w:val="Normal"/>
    <w:link w:val="FooterChar"/>
    <w:uiPriority w:val="99"/>
    <w:unhideWhenUsed/>
    <w:rsid w:val="003F0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721"/>
  </w:style>
  <w:style w:type="paragraph" w:styleId="ListParagraph">
    <w:name w:val="List Paragraph"/>
    <w:basedOn w:val="Normal"/>
    <w:uiPriority w:val="34"/>
    <w:qFormat/>
    <w:rsid w:val="005E3A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7E0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87E02"/>
    <w:rPr>
      <w:rFonts w:ascii="Times New Roman" w:eastAsia="Times New Roman" w:hAnsi="Times New Roman" w:cs="Times New Roman"/>
      <w:b/>
      <w:snapToGrid w:val="0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87E02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87E02"/>
    <w:rPr>
      <w:rFonts w:ascii="Times New Roman" w:eastAsiaTheme="majorEastAsia" w:hAnsi="Times New Roman" w:cs="Times New Roman"/>
      <w:iCs/>
      <w:snapToGrid w:val="0"/>
      <w:color w:val="000000" w:themeColor="text1"/>
      <w:sz w:val="24"/>
      <w:szCs w:val="20"/>
    </w:rPr>
  </w:style>
  <w:style w:type="paragraph" w:styleId="Revision">
    <w:name w:val="Revision"/>
    <w:hidden/>
    <w:uiPriority w:val="99"/>
    <w:semiHidden/>
    <w:rsid w:val="00234D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A7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B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0618-66A6-48AB-ACEA-817E2BCB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1064</Words>
  <Characters>5975</Characters>
  <Application>Microsoft Office Word</Application>
  <DocSecurity>0</DocSecurity>
  <Lines>157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6431</vt:lpstr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6431</dc:title>
  <dc:subject>Tax Increment Financing Checklist</dc:subject>
  <dc:creator>Fannie Mae</dc:creator>
  <cp:keywords/>
  <dc:description/>
  <cp:lastModifiedBy>Sue Riggs</cp:lastModifiedBy>
  <cp:revision>3</cp:revision>
  <dcterms:created xsi:type="dcterms:W3CDTF">2026-06-17T17:11:00Z</dcterms:created>
  <dcterms:modified xsi:type="dcterms:W3CDTF">2026-06-17T17:12:00Z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4937-6550-7847</vt:lpwstr>
  </property>
  <property fmtid="{D5CDD505-2E9C-101B-9397-08002B2CF9AE}" pid="3" name="ClassificationContentMarkingFooterShapeIds">
    <vt:lpwstr>31089996,2e6f5fbe,5c6a58a5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Fannie Mae Confidential</vt:lpwstr>
  </property>
  <property fmtid="{D5CDD505-2E9C-101B-9397-08002B2CF9AE}" pid="6" name="MSIP_Label_a9455cd2-ef3f-47ad-8dee-f10882ec60d9_Enabled">
    <vt:lpwstr>true</vt:lpwstr>
  </property>
  <property fmtid="{D5CDD505-2E9C-101B-9397-08002B2CF9AE}" pid="7" name="MSIP_Label_a9455cd2-ef3f-47ad-8dee-f10882ec60d9_SetDate">
    <vt:lpwstr>2025-08-25T19:02:21Z</vt:lpwstr>
  </property>
  <property fmtid="{D5CDD505-2E9C-101B-9397-08002B2CF9AE}" pid="8" name="MSIP_Label_a9455cd2-ef3f-47ad-8dee-f10882ec60d9_Method">
    <vt:lpwstr>Standard</vt:lpwstr>
  </property>
  <property fmtid="{D5CDD505-2E9C-101B-9397-08002B2CF9AE}" pid="9" name="MSIP_Label_a9455cd2-ef3f-47ad-8dee-f10882ec60d9_Name">
    <vt:lpwstr>Confidential - Internal Distribution</vt:lpwstr>
  </property>
  <property fmtid="{D5CDD505-2E9C-101B-9397-08002B2CF9AE}" pid="10" name="MSIP_Label_a9455cd2-ef3f-47ad-8dee-f10882ec60d9_SiteId">
    <vt:lpwstr>e6baca02-d986-4077-8053-30de7d5e0d58</vt:lpwstr>
  </property>
  <property fmtid="{D5CDD505-2E9C-101B-9397-08002B2CF9AE}" pid="11" name="MSIP_Label_a9455cd2-ef3f-47ad-8dee-f10882ec60d9_ActionId">
    <vt:lpwstr>afbe3ecb-55e7-4254-956d-aaeff268a117</vt:lpwstr>
  </property>
  <property fmtid="{D5CDD505-2E9C-101B-9397-08002B2CF9AE}" pid="12" name="MSIP_Label_a9455cd2-ef3f-47ad-8dee-f10882ec60d9_ContentBits">
    <vt:lpwstr>2</vt:lpwstr>
  </property>
  <property fmtid="{D5CDD505-2E9C-101B-9397-08002B2CF9AE}" pid="13" name="MSIP_Label_a9455cd2-ef3f-47ad-8dee-f10882ec60d9_Tag">
    <vt:lpwstr>10, 3, 0, 1</vt:lpwstr>
  </property>
  <property fmtid="{D5CDD505-2E9C-101B-9397-08002B2CF9AE}" pid="14" name="iManageFooter">
    <vt:lpwstr>71130393-v8</vt:lpwstr>
  </property>
</Properties>
</file>