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997B" w14:textId="77777777" w:rsidR="00D3412F" w:rsidRPr="00B24D71" w:rsidRDefault="00D3412F" w:rsidP="00D3412F">
      <w:pPr>
        <w:spacing w:after="240"/>
        <w:jc w:val="center"/>
        <w:rPr>
          <w:b/>
        </w:rPr>
      </w:pPr>
      <w:r w:rsidRPr="00B24D71">
        <w:rPr>
          <w:b/>
        </w:rPr>
        <w:t>EXHIBIT [__]</w:t>
      </w:r>
    </w:p>
    <w:p w14:paraId="40CAD5CE" w14:textId="77777777" w:rsidR="00D3412F" w:rsidRPr="00B24D71" w:rsidRDefault="00D3412F" w:rsidP="00D3412F">
      <w:pPr>
        <w:jc w:val="center"/>
        <w:rPr>
          <w:b/>
        </w:rPr>
      </w:pPr>
      <w:r w:rsidRPr="00B24D71">
        <w:rPr>
          <w:b/>
        </w:rPr>
        <w:t>MODIFICATIONS TO SECURITY INSTRUMENT</w:t>
      </w:r>
    </w:p>
    <w:p w14:paraId="40791CAC" w14:textId="77777777" w:rsidR="00D3412F" w:rsidRDefault="00D3412F" w:rsidP="00D3412F">
      <w:pPr>
        <w:pStyle w:val="BodyText"/>
        <w:spacing w:after="240"/>
        <w:jc w:val="center"/>
      </w:pPr>
      <w:r w:rsidRPr="00C24EEF">
        <w:rPr>
          <w:b/>
        </w:rPr>
        <w:t>(Sponsor</w:t>
      </w:r>
      <w:r>
        <w:rPr>
          <w:b/>
        </w:rPr>
        <w:t>-Dedicated Workforce Housing</w:t>
      </w:r>
      <w:r w:rsidRPr="00C24EEF">
        <w:rPr>
          <w:b/>
        </w:rPr>
        <w:t>)</w:t>
      </w:r>
    </w:p>
    <w:p w14:paraId="014DCE5A" w14:textId="77777777" w:rsidR="00D3412F" w:rsidRPr="00B24D71" w:rsidRDefault="00D3412F" w:rsidP="00D3412F">
      <w:pPr>
        <w:spacing w:after="240"/>
        <w:ind w:firstLine="600"/>
        <w:jc w:val="both"/>
      </w:pPr>
      <w:r w:rsidRPr="00B24D71">
        <w:t>The foregoing Security Instrument is hereby modified as follows:</w:t>
      </w:r>
    </w:p>
    <w:p w14:paraId="20F1FA56" w14:textId="77777777" w:rsidR="00D3412F" w:rsidRDefault="00D3412F" w:rsidP="00D3412F">
      <w:pPr>
        <w:numPr>
          <w:ilvl w:val="0"/>
          <w:numId w:val="43"/>
        </w:numPr>
        <w:tabs>
          <w:tab w:val="clear" w:pos="1440"/>
        </w:tabs>
        <w:suppressAutoHyphens/>
        <w:spacing w:after="240"/>
        <w:jc w:val="both"/>
      </w:pPr>
      <w:r w:rsidRPr="00B24D71">
        <w:t>Capitalized terms used and not specifically defined herein have the meanings given to such terms in the Security Instrument.</w:t>
      </w:r>
    </w:p>
    <w:p w14:paraId="7E1D6C16" w14:textId="77777777" w:rsidR="00D3412F" w:rsidRPr="00B24D71" w:rsidRDefault="00D3412F" w:rsidP="00D3412F">
      <w:pPr>
        <w:numPr>
          <w:ilvl w:val="0"/>
          <w:numId w:val="43"/>
        </w:numPr>
        <w:tabs>
          <w:tab w:val="clear" w:pos="1440"/>
        </w:tabs>
        <w:suppressAutoHyphens/>
        <w:spacing w:after="240"/>
        <w:jc w:val="both"/>
      </w:pPr>
      <w:r w:rsidRPr="00B3303E">
        <w:t>Section 1 of the Security Instrument (Defined Terms) is hereby amended by adding the following new definitions in the appropriate alphabetical order:</w:t>
      </w:r>
    </w:p>
    <w:p w14:paraId="49C89232" w14:textId="77777777" w:rsidR="00D3412F" w:rsidRDefault="00D3412F" w:rsidP="00D3412F">
      <w:pPr>
        <w:pStyle w:val="BodyText"/>
        <w:spacing w:after="240"/>
        <w:ind w:left="720" w:right="720"/>
        <w:jc w:val="both"/>
      </w:pPr>
      <w:r>
        <w:t>“</w:t>
      </w:r>
      <w:r>
        <w:rPr>
          <w:b/>
        </w:rPr>
        <w:t>AMI</w:t>
      </w:r>
      <w:r>
        <w:t>” means the median income level issued annually by the Federal Housing Finance Agency for each property census tract as provided in the Multifamily Affordability Estimator.</w:t>
      </w:r>
    </w:p>
    <w:p w14:paraId="69DEEE57" w14:textId="77777777" w:rsidR="00D3412F" w:rsidRDefault="00D3412F" w:rsidP="00D3412F">
      <w:pPr>
        <w:pStyle w:val="BodyText"/>
        <w:spacing w:after="240"/>
        <w:ind w:left="720" w:right="720"/>
        <w:jc w:val="both"/>
      </w:pPr>
      <w:bookmarkStart w:id="0" w:name="_cp_change_2"/>
      <w:bookmarkEnd w:id="0"/>
      <w:r>
        <w:t>“</w:t>
      </w:r>
      <w:r w:rsidRPr="000B66F4">
        <w:rPr>
          <w:b/>
          <w:bCs/>
        </w:rPr>
        <w:t>Multifamily Affordability Estimator</w:t>
      </w:r>
      <w:r>
        <w:t>” means the Fannie Mae Multifamily Affordability Estimator, or any successor tool provided or used by Fannie Mae to estimate the affordability profile of a property.</w:t>
      </w:r>
    </w:p>
    <w:p w14:paraId="286A667C" w14:textId="77777777" w:rsidR="00D3412F" w:rsidRDefault="00D3412F" w:rsidP="00D3412F">
      <w:pPr>
        <w:pStyle w:val="BodyText"/>
        <w:spacing w:after="240"/>
        <w:ind w:left="720" w:right="720"/>
        <w:jc w:val="both"/>
      </w:pPr>
      <w:r>
        <w:t>“</w:t>
      </w:r>
      <w:r w:rsidRPr="000B66F4">
        <w:rPr>
          <w:b/>
          <w:bCs/>
        </w:rPr>
        <w:t>Rent Restricted Unit</w:t>
      </w:r>
      <w:r>
        <w:rPr>
          <w:b/>
          <w:bCs/>
        </w:rPr>
        <w:t>s</w:t>
      </w:r>
      <w:r>
        <w:t>” means, individually and collectively, each unit designated as subject to Rent Restriction, as disclosed from time to time under the Schedule of Rent Restricted Units.</w:t>
      </w:r>
    </w:p>
    <w:p w14:paraId="14EA6596" w14:textId="77777777" w:rsidR="00D3412F" w:rsidRDefault="00D3412F" w:rsidP="00D3412F">
      <w:pPr>
        <w:pStyle w:val="BodyText"/>
        <w:spacing w:after="240"/>
        <w:ind w:left="720" w:right="720"/>
        <w:jc w:val="both"/>
      </w:pPr>
      <w:r>
        <w:t>“</w:t>
      </w:r>
      <w:r w:rsidRPr="000B66F4">
        <w:rPr>
          <w:b/>
          <w:bCs/>
        </w:rPr>
        <w:t>Rent Restriction</w:t>
      </w:r>
      <w:r>
        <w:t xml:space="preserve">” means, </w:t>
      </w:r>
      <w:r>
        <w:rPr>
          <w:b/>
          <w:bCs/>
        </w:rPr>
        <w:t>[DRAFTING NOTE: INSERT AMI RENT RESTRICTION:</w:t>
      </w:r>
      <w:r w:rsidRPr="003D39A2">
        <w:t xml:space="preserve"> ________ percent (___%)</w:t>
      </w:r>
      <w:r>
        <w:rPr>
          <w:b/>
          <w:bCs/>
        </w:rPr>
        <w:t>]</w:t>
      </w:r>
      <w:r w:rsidRPr="003D39A2">
        <w:t xml:space="preserve"> of AMI</w:t>
      </w:r>
      <w:r>
        <w:rPr>
          <w:b/>
          <w:bCs/>
        </w:rPr>
        <w:t xml:space="preserve"> </w:t>
      </w:r>
      <w:r>
        <w:t>with respect to a unit at the Mortgaged Property, the maximum monthly Total Rent for such unit pursuant to Section [__]</w:t>
      </w:r>
      <w:r w:rsidRPr="000E58F2">
        <w:t>(</w:t>
      </w:r>
      <w:r>
        <w:t>a</w:t>
      </w:r>
      <w:r w:rsidRPr="000E58F2">
        <w:t>)</w:t>
      </w:r>
      <w:r>
        <w:t xml:space="preserve">(2) </w:t>
      </w:r>
      <w:r w:rsidRPr="00A06A3B">
        <w:t>(</w:t>
      </w:r>
      <w:r>
        <w:t xml:space="preserve">Sponsor-Dedicated Workforce Housing – </w:t>
      </w:r>
      <w:r w:rsidRPr="00E853CF">
        <w:rPr>
          <w:bCs/>
          <w:szCs w:val="20"/>
        </w:rPr>
        <w:t>Set Aside Requirement; Leasing of Rent Restricted Units</w:t>
      </w:r>
      <w:r>
        <w:t>) and Section [__](b)(1) (Sponsor-Dedicated Workforce Housing – Covenants) of this Security Instrument.</w:t>
      </w:r>
    </w:p>
    <w:p w14:paraId="7F47EA5A" w14:textId="77777777" w:rsidR="00D3412F" w:rsidRDefault="00D3412F" w:rsidP="00D3412F">
      <w:pPr>
        <w:pStyle w:val="BodyText"/>
        <w:spacing w:after="240"/>
        <w:ind w:left="720" w:right="720"/>
        <w:jc w:val="both"/>
      </w:pPr>
      <w:r>
        <w:t>“</w:t>
      </w:r>
      <w:r w:rsidRPr="000B66F4">
        <w:rPr>
          <w:b/>
          <w:bCs/>
        </w:rPr>
        <w:t>Schedule of Rent Restricted Units</w:t>
      </w:r>
      <w:r>
        <w:t xml:space="preserve">” means that certain </w:t>
      </w:r>
      <w:r w:rsidRPr="00245A4C">
        <w:rPr>
          <w:u w:val="single"/>
        </w:rPr>
        <w:t>Schedule 1</w:t>
      </w:r>
      <w:r>
        <w:t xml:space="preserve"> (Form of Schedule of Rent Restricted Units) attached to this </w:t>
      </w:r>
      <w:r>
        <w:rPr>
          <w:u w:val="single"/>
        </w:rPr>
        <w:t>Exhibit </w:t>
      </w:r>
      <w:r w:rsidRPr="000B66F4">
        <w:rPr>
          <w:u w:val="single"/>
        </w:rPr>
        <w:t>[__]</w:t>
      </w:r>
      <w:r>
        <w:t>.</w:t>
      </w:r>
    </w:p>
    <w:p w14:paraId="04F68E1D" w14:textId="77777777" w:rsidR="00D3412F" w:rsidRDefault="00D3412F" w:rsidP="00D3412F">
      <w:pPr>
        <w:pStyle w:val="BodyText"/>
        <w:spacing w:after="240"/>
        <w:ind w:left="720" w:right="720"/>
        <w:jc w:val="both"/>
      </w:pPr>
      <w:r>
        <w:t>“</w:t>
      </w:r>
      <w:r>
        <w:rPr>
          <w:b/>
          <w:bCs/>
        </w:rPr>
        <w:t>Set-Aside Requirement</w:t>
      </w:r>
      <w:r w:rsidRPr="00C24EEF">
        <w:t xml:space="preserve">” means </w:t>
      </w:r>
      <w:r>
        <w:t>the requirement that Borrower maintain a minimum of [</w:t>
      </w:r>
      <w:r>
        <w:rPr>
          <w:b/>
          <w:bCs/>
        </w:rPr>
        <w:t>DRAFTING NOTE: INSERT THE MINIMUM SET-ASIDE; MINIMUM 20% SET-ASIDE REQUIRED</w:t>
      </w:r>
      <w:r>
        <w:t>] _____ percent ([__]%) of the units as Rent Restricted Units.</w:t>
      </w:r>
    </w:p>
    <w:p w14:paraId="01B69521" w14:textId="6F43115E" w:rsidR="00D3412F" w:rsidRDefault="00D3412F" w:rsidP="00D3412F">
      <w:pPr>
        <w:pStyle w:val="BodyText"/>
        <w:spacing w:after="240"/>
        <w:ind w:left="720" w:right="720"/>
        <w:jc w:val="both"/>
      </w:pPr>
      <w:r>
        <w:t>“</w:t>
      </w:r>
      <w:r>
        <w:rPr>
          <w:b/>
          <w:bCs/>
        </w:rPr>
        <w:t xml:space="preserve">Sponsor-Dedicated Workforce </w:t>
      </w:r>
      <w:r w:rsidR="00303667">
        <w:rPr>
          <w:b/>
          <w:bCs/>
        </w:rPr>
        <w:t xml:space="preserve">Housing </w:t>
      </w:r>
      <w:r>
        <w:rPr>
          <w:b/>
          <w:bCs/>
        </w:rPr>
        <w:t>Commencement Date</w:t>
      </w:r>
      <w:r>
        <w:t xml:space="preserve">” means the date which is </w:t>
      </w:r>
      <w:r w:rsidRPr="00B240FD">
        <w:t>twelve</w:t>
      </w:r>
      <w:r>
        <w:t> </w:t>
      </w:r>
      <w:r w:rsidRPr="00B240FD">
        <w:t>(12)</w:t>
      </w:r>
      <w:r>
        <w:t xml:space="preserve"> months after the Effective Date.</w:t>
      </w:r>
    </w:p>
    <w:p w14:paraId="5483B501" w14:textId="77777777" w:rsidR="00D3412F" w:rsidRDefault="00D3412F" w:rsidP="00D3412F">
      <w:pPr>
        <w:pStyle w:val="BodyText"/>
        <w:spacing w:after="240"/>
        <w:ind w:left="720" w:right="720"/>
        <w:jc w:val="both"/>
      </w:pPr>
      <w:r>
        <w:t>“</w:t>
      </w:r>
      <w:r w:rsidRPr="007658A6">
        <w:rPr>
          <w:b/>
          <w:bCs/>
        </w:rPr>
        <w:t>Sponsor-Dedicated Workforce Housing Restrictions</w:t>
      </w:r>
      <w:r>
        <w:t>” means those restrictions imposed on the Mortgaged Property for so long as the Mortgage Loan is outstanding as set forth in Section</w:t>
      </w:r>
      <w:r w:rsidRPr="003942D0">
        <w:t> [__]</w:t>
      </w:r>
      <w:r>
        <w:t xml:space="preserve"> </w:t>
      </w:r>
      <w:r w:rsidRPr="003942D0">
        <w:t>(</w:t>
      </w:r>
      <w:r>
        <w:t>Sponsor-Dedicated Workforce Housing</w:t>
      </w:r>
      <w:r w:rsidRPr="003942D0">
        <w:t>)</w:t>
      </w:r>
      <w:r>
        <w:t xml:space="preserve"> of this Security Instrument.</w:t>
      </w:r>
    </w:p>
    <w:p w14:paraId="5BC3D309" w14:textId="77777777" w:rsidR="00D3412F" w:rsidRPr="008D167B" w:rsidRDefault="00D3412F" w:rsidP="00D3412F">
      <w:pPr>
        <w:pStyle w:val="BodyText"/>
        <w:spacing w:after="240"/>
        <w:ind w:left="720" w:right="720"/>
        <w:jc w:val="both"/>
      </w:pPr>
      <w:r w:rsidRPr="008D167B">
        <w:lastRenderedPageBreak/>
        <w:t>“</w:t>
      </w:r>
      <w:r w:rsidRPr="008D167B">
        <w:rPr>
          <w:b/>
          <w:bCs/>
        </w:rPr>
        <w:t>Tenant</w:t>
      </w:r>
      <w:r w:rsidRPr="008D167B">
        <w:t xml:space="preserve">” means, individually and collectively, </w:t>
      </w:r>
      <w:r>
        <w:t>each occupant</w:t>
      </w:r>
      <w:r w:rsidRPr="008D167B">
        <w:t xml:space="preserve"> </w:t>
      </w:r>
      <w:r w:rsidRPr="00DF1E99">
        <w:t>eighteen (18) years or older</w:t>
      </w:r>
      <w:r>
        <w:t xml:space="preserve">, </w:t>
      </w:r>
      <w:r w:rsidRPr="00876942">
        <w:t xml:space="preserve">or </w:t>
      </w:r>
      <w:r>
        <w:t>prospective occupant, of a unit pursuant to a Lease</w:t>
      </w:r>
      <w:r w:rsidRPr="008D167B">
        <w:t>.</w:t>
      </w:r>
    </w:p>
    <w:p w14:paraId="0283F1CA" w14:textId="77777777" w:rsidR="00D3412F" w:rsidRDefault="00D3412F" w:rsidP="00D3412F">
      <w:pPr>
        <w:pStyle w:val="BodyText"/>
        <w:spacing w:after="240"/>
        <w:ind w:left="720" w:right="720"/>
        <w:jc w:val="both"/>
      </w:pPr>
      <w:r>
        <w:t>“</w:t>
      </w:r>
      <w:r>
        <w:rPr>
          <w:b/>
          <w:bCs/>
        </w:rPr>
        <w:t xml:space="preserve">Total </w:t>
      </w:r>
      <w:r w:rsidRPr="000B66F4">
        <w:rPr>
          <w:b/>
          <w:bCs/>
        </w:rPr>
        <w:t>Rent</w:t>
      </w:r>
      <w:r>
        <w:t>” means regular payments made for rent plus a standard utility allowance (if utilities are not otherwise included in the rent) plus any fees that are required of all tenants for occupancy at the Mortgaged Property (i.e., trash collection fees, whether charged individually or in conjunction with rent), as prescribed by the Multifamily Affordability Estimator.  Elective amenity fees that are not required for occupancy (e.g., pet fees, parking fees, etc.) are not included in this definition.</w:t>
      </w:r>
    </w:p>
    <w:p w14:paraId="1ADF8CFB" w14:textId="77777777" w:rsidR="00D3412F" w:rsidRDefault="00D3412F" w:rsidP="00D3412F">
      <w:pPr>
        <w:numPr>
          <w:ilvl w:val="0"/>
          <w:numId w:val="43"/>
        </w:numPr>
        <w:tabs>
          <w:tab w:val="clear" w:pos="1440"/>
        </w:tabs>
        <w:suppressAutoHyphens/>
        <w:spacing w:after="240"/>
        <w:jc w:val="both"/>
      </w:pPr>
      <w:r w:rsidRPr="00A06A3B">
        <w:t>The following section is hereby added to the Security Instrument as Section</w:t>
      </w:r>
      <w:r>
        <w:t> </w:t>
      </w:r>
      <w:r w:rsidRPr="00A06A3B">
        <w:t>[__] (</w:t>
      </w:r>
      <w:r>
        <w:t>Sponsor-Dedicated Workforce Housing</w:t>
      </w:r>
      <w:r w:rsidRPr="00A06A3B">
        <w:t>)</w:t>
      </w:r>
      <w:r>
        <w:t>:</w:t>
      </w:r>
    </w:p>
    <w:p w14:paraId="0D302E50" w14:textId="77777777" w:rsidR="00D3412F" w:rsidRDefault="00D3412F" w:rsidP="00D3412F">
      <w:pPr>
        <w:pStyle w:val="ListParagraph"/>
        <w:spacing w:after="240"/>
        <w:ind w:right="720"/>
        <w:contextualSpacing w:val="0"/>
        <w:jc w:val="both"/>
        <w:rPr>
          <w:b/>
          <w:bCs/>
        </w:rPr>
      </w:pPr>
      <w:r w:rsidRPr="00890F17">
        <w:rPr>
          <w:b/>
          <w:bCs/>
        </w:rPr>
        <w:t>[__].</w:t>
      </w:r>
      <w:r w:rsidRPr="00890F17">
        <w:rPr>
          <w:b/>
          <w:bCs/>
        </w:rPr>
        <w:tab/>
      </w:r>
      <w:r>
        <w:rPr>
          <w:b/>
          <w:bCs/>
        </w:rPr>
        <w:t>Sponsor-Dedicated Workforce Housing.</w:t>
      </w:r>
    </w:p>
    <w:p w14:paraId="0C6D753A" w14:textId="77777777" w:rsidR="00D3412F" w:rsidRDefault="00D3412F" w:rsidP="00D3412F">
      <w:pPr>
        <w:pStyle w:val="ListParagraph"/>
        <w:numPr>
          <w:ilvl w:val="1"/>
          <w:numId w:val="43"/>
        </w:numPr>
        <w:tabs>
          <w:tab w:val="clear" w:pos="1440"/>
        </w:tabs>
        <w:suppressAutoHyphens/>
        <w:spacing w:after="240"/>
        <w:ind w:left="720" w:right="720"/>
        <w:contextualSpacing w:val="0"/>
        <w:jc w:val="both"/>
        <w:rPr>
          <w:b/>
          <w:szCs w:val="20"/>
        </w:rPr>
      </w:pPr>
      <w:r>
        <w:rPr>
          <w:b/>
          <w:szCs w:val="20"/>
        </w:rPr>
        <w:t>Set Aside Requirement; Leasing of Rent Restricted Units</w:t>
      </w:r>
      <w:r w:rsidRPr="00FF6AC2">
        <w:rPr>
          <w:b/>
          <w:szCs w:val="20"/>
        </w:rPr>
        <w:t>.</w:t>
      </w:r>
    </w:p>
    <w:p w14:paraId="5E36F475" w14:textId="7E3E93F7" w:rsidR="00D3412F" w:rsidRDefault="00D3412F" w:rsidP="00D3412F">
      <w:pPr>
        <w:pStyle w:val="TabbedL2"/>
        <w:numPr>
          <w:ilvl w:val="0"/>
          <w:numId w:val="44"/>
        </w:numPr>
        <w:ind w:left="1440" w:right="720" w:firstLine="720"/>
        <w:jc w:val="both"/>
      </w:pPr>
      <w:r>
        <w:t xml:space="preserve">Borrower shall satisfy the </w:t>
      </w:r>
      <w:r w:rsidRPr="00333F10">
        <w:rPr>
          <w:bCs/>
        </w:rPr>
        <w:t>Set-Aside Requirement</w:t>
      </w:r>
      <w:r>
        <w:rPr>
          <w:bCs/>
        </w:rPr>
        <w:t xml:space="preserve"> on or before the Sponsor-Dedicated Workforce </w:t>
      </w:r>
      <w:r w:rsidR="00303667">
        <w:rPr>
          <w:bCs/>
        </w:rPr>
        <w:t xml:space="preserve">Housing </w:t>
      </w:r>
      <w:r>
        <w:rPr>
          <w:bCs/>
        </w:rPr>
        <w:t xml:space="preserve">Commencement Date, and the Rent Restricted Units shall </w:t>
      </w:r>
      <w:r>
        <w:rPr>
          <w:szCs w:val="24"/>
        </w:rPr>
        <w:t xml:space="preserve">be </w:t>
      </w:r>
      <w:r>
        <w:t xml:space="preserve">proportionally distributed according to the total number of each bedroom size available across </w:t>
      </w:r>
      <w:r w:rsidRPr="008760CA">
        <w:rPr>
          <w:szCs w:val="24"/>
        </w:rPr>
        <w:t xml:space="preserve">the </w:t>
      </w:r>
      <w:r>
        <w:t xml:space="preserve">Mortgaged </w:t>
      </w:r>
      <w:r w:rsidRPr="008760CA">
        <w:rPr>
          <w:szCs w:val="24"/>
        </w:rPr>
        <w:t>Property</w:t>
      </w:r>
      <w:r>
        <w:t>.</w:t>
      </w:r>
    </w:p>
    <w:p w14:paraId="7D4D03CB" w14:textId="77777777" w:rsidR="00D3412F" w:rsidRDefault="00D3412F" w:rsidP="00D3412F">
      <w:pPr>
        <w:pStyle w:val="TabbedL2"/>
        <w:numPr>
          <w:ilvl w:val="0"/>
          <w:numId w:val="44"/>
        </w:numPr>
        <w:ind w:left="1440" w:right="720" w:firstLine="720"/>
        <w:jc w:val="both"/>
      </w:pPr>
      <w:r>
        <w:t>Borrower shall not charge Total Rent for a Rent Restricted Unit in excess of its Rent Restriction.  Although Borrower may receive funds from a federal or state rental assistance program in excess of the Rent Restriction, the portion of Total Rent payable by a Tenant of a Rent Restricted Unit shall not exceed the Rent Restriction.</w:t>
      </w:r>
    </w:p>
    <w:p w14:paraId="0E97740A" w14:textId="77777777" w:rsidR="00D3412F" w:rsidRDefault="00D3412F" w:rsidP="00D3412F">
      <w:pPr>
        <w:pStyle w:val="ListParagraph"/>
        <w:numPr>
          <w:ilvl w:val="1"/>
          <w:numId w:val="43"/>
        </w:numPr>
        <w:tabs>
          <w:tab w:val="clear" w:pos="1440"/>
        </w:tabs>
        <w:suppressAutoHyphens/>
        <w:spacing w:after="240"/>
        <w:ind w:left="720" w:right="720"/>
        <w:contextualSpacing w:val="0"/>
        <w:jc w:val="both"/>
        <w:rPr>
          <w:b/>
          <w:szCs w:val="20"/>
        </w:rPr>
      </w:pPr>
      <w:r>
        <w:rPr>
          <w:b/>
          <w:szCs w:val="20"/>
        </w:rPr>
        <w:t>Covenants.</w:t>
      </w:r>
    </w:p>
    <w:p w14:paraId="634B6FAF" w14:textId="65FDC693" w:rsidR="00D3412F" w:rsidRPr="009B189F" w:rsidRDefault="00D3412F" w:rsidP="00D3412F">
      <w:pPr>
        <w:pStyle w:val="TabbedL2"/>
        <w:numPr>
          <w:ilvl w:val="0"/>
          <w:numId w:val="46"/>
        </w:numPr>
        <w:ind w:left="1440" w:right="720" w:firstLine="720"/>
        <w:jc w:val="both"/>
      </w:pPr>
      <w:r w:rsidRPr="009B189F">
        <w:t xml:space="preserve">Borrower agrees that the monthly </w:t>
      </w:r>
      <w:r>
        <w:t xml:space="preserve">Total </w:t>
      </w:r>
      <w:r w:rsidRPr="009B189F">
        <w:t xml:space="preserve">Rent paid by a Tenant for a Rent Restricted Unit </w:t>
      </w:r>
      <w:r>
        <w:t>shall</w:t>
      </w:r>
      <w:r w:rsidRPr="009B189F">
        <w:t xml:space="preserve"> not exceed the maximum area rent for that bedroom unit size provided by the Multifamily Affordability Estimator.</w:t>
      </w:r>
      <w:r>
        <w:t xml:space="preserve">  Notwithstanding the foregoing, in the event the AMI decreases after the date of occupancy, in no event </w:t>
      </w:r>
      <w:r w:rsidR="00ED2F67">
        <w:fldChar w:fldCharType="begin"/>
      </w:r>
      <w:r w:rsidR="00ED2F67">
        <w:instrText xml:space="preserve"> LISTNUM </w:instrText>
      </w:r>
      <w:r w:rsidR="00ED2F67">
        <w:fldChar w:fldCharType="end"/>
      </w:r>
      <w:r w:rsidR="00ED2F67">
        <w:t xml:space="preserve"> </w:t>
      </w:r>
      <w:r>
        <w:t>will Tenant be required to pay increased rent based on such decrease</w:t>
      </w:r>
      <w:r w:rsidR="00ED2F67">
        <w:t xml:space="preserve">, </w:t>
      </w:r>
      <w:r w:rsidR="00B41E08">
        <w:t>or</w:t>
      </w:r>
      <w:r w:rsidR="00ED2F67">
        <w:t xml:space="preserve"> </w:t>
      </w:r>
      <w:r w:rsidR="00ED2F67">
        <w:fldChar w:fldCharType="begin"/>
      </w:r>
      <w:r w:rsidR="00ED2F67">
        <w:instrText xml:space="preserve"> LISTNUM </w:instrText>
      </w:r>
      <w:r w:rsidR="00ED2F67">
        <w:fldChar w:fldCharType="end"/>
      </w:r>
      <w:r w:rsidR="00ED2F67">
        <w:t xml:space="preserve"> </w:t>
      </w:r>
      <w:r w:rsidR="00B41E08">
        <w:t xml:space="preserve">will </w:t>
      </w:r>
      <w:r w:rsidR="00ED2F67">
        <w:t>Borrower be required to charge a lower Total Rent than that of the corresponding highest AMI level determined effective within the Loan Term</w:t>
      </w:r>
      <w:r>
        <w:t>.</w:t>
      </w:r>
    </w:p>
    <w:p w14:paraId="6008746C" w14:textId="77777777" w:rsidR="00D3412F" w:rsidRPr="009B189F" w:rsidRDefault="00D3412F" w:rsidP="00D3412F">
      <w:pPr>
        <w:pStyle w:val="TabbedL2"/>
        <w:numPr>
          <w:ilvl w:val="0"/>
          <w:numId w:val="46"/>
        </w:numPr>
        <w:ind w:left="1440" w:right="720" w:firstLine="720"/>
        <w:jc w:val="both"/>
      </w:pPr>
      <w:r w:rsidRPr="009B189F">
        <w:t>Borrower shall:</w:t>
      </w:r>
    </w:p>
    <w:p w14:paraId="3F6749FF" w14:textId="77777777" w:rsidR="00D3412F" w:rsidRPr="009B189F" w:rsidRDefault="00D3412F" w:rsidP="00D3412F">
      <w:pPr>
        <w:pStyle w:val="TabbedL2"/>
        <w:numPr>
          <w:ilvl w:val="1"/>
          <w:numId w:val="46"/>
        </w:numPr>
        <w:ind w:left="2160" w:right="720" w:firstLine="720"/>
        <w:jc w:val="both"/>
      </w:pPr>
      <w:r w:rsidRPr="009B189F">
        <w:t xml:space="preserve">comply with all </w:t>
      </w:r>
      <w:r w:rsidRPr="001759BA">
        <w:t xml:space="preserve">Sponsor-Dedicated Workforce </w:t>
      </w:r>
      <w:r>
        <w:t xml:space="preserve">Housing Restrictions </w:t>
      </w:r>
      <w:r w:rsidRPr="009B189F">
        <w:t>throughout the Loan Term;</w:t>
      </w:r>
    </w:p>
    <w:p w14:paraId="788E91A7" w14:textId="77777777" w:rsidR="00D3412F" w:rsidRPr="009B189F" w:rsidRDefault="00D3412F" w:rsidP="00D3412F">
      <w:pPr>
        <w:pStyle w:val="TabbedL2"/>
        <w:numPr>
          <w:ilvl w:val="1"/>
          <w:numId w:val="46"/>
        </w:numPr>
        <w:ind w:left="2160" w:right="720" w:firstLine="720"/>
        <w:jc w:val="both"/>
      </w:pPr>
      <w:r w:rsidRPr="009B189F">
        <w:lastRenderedPageBreak/>
        <w:t>conduct its tenant selection procedure in accordance with all applicable laws, ordinances, rules, and regulations of any Governmental Authority, including fair housing laws, rules and regulations; and</w:t>
      </w:r>
    </w:p>
    <w:p w14:paraId="1076A197" w14:textId="77777777" w:rsidR="00D3412F" w:rsidRPr="009B189F" w:rsidRDefault="00D3412F" w:rsidP="00D3412F">
      <w:pPr>
        <w:pStyle w:val="TabbedL2"/>
        <w:numPr>
          <w:ilvl w:val="1"/>
          <w:numId w:val="46"/>
        </w:numPr>
        <w:ind w:left="2160" w:right="720" w:firstLine="720"/>
        <w:jc w:val="both"/>
      </w:pPr>
      <w:r w:rsidRPr="009B189F">
        <w:t>meet the same affirmative marketing standards as set forth in 24 C.F.R. § 200.620.</w:t>
      </w:r>
    </w:p>
    <w:p w14:paraId="3221E351" w14:textId="77777777" w:rsidR="00D3412F" w:rsidRPr="00FF6AC2" w:rsidRDefault="00D3412F" w:rsidP="00D3412F">
      <w:pPr>
        <w:pStyle w:val="ListParagraph"/>
        <w:keepNext/>
        <w:numPr>
          <w:ilvl w:val="1"/>
          <w:numId w:val="43"/>
        </w:numPr>
        <w:tabs>
          <w:tab w:val="clear" w:pos="1440"/>
        </w:tabs>
        <w:suppressAutoHyphens/>
        <w:spacing w:after="240"/>
        <w:ind w:left="720" w:right="720"/>
        <w:contextualSpacing w:val="0"/>
        <w:jc w:val="both"/>
        <w:rPr>
          <w:b/>
          <w:szCs w:val="20"/>
        </w:rPr>
      </w:pPr>
      <w:r>
        <w:rPr>
          <w:b/>
          <w:szCs w:val="20"/>
        </w:rPr>
        <w:t>Compliance.</w:t>
      </w:r>
    </w:p>
    <w:p w14:paraId="591A5C83" w14:textId="72775A52" w:rsidR="00D3412F" w:rsidRDefault="00D3412F" w:rsidP="00D3412F">
      <w:pPr>
        <w:pStyle w:val="ListParagraph"/>
        <w:spacing w:after="240"/>
        <w:ind w:right="720" w:firstLine="720"/>
        <w:contextualSpacing w:val="0"/>
        <w:jc w:val="both"/>
        <w:rPr>
          <w:b/>
          <w:bCs/>
        </w:rPr>
      </w:pPr>
      <w:r w:rsidRPr="001759BA">
        <w:rPr>
          <w:szCs w:val="20"/>
        </w:rPr>
        <w:t xml:space="preserve">On an annual basis, Lender will determine whether Borrower </w:t>
      </w:r>
      <w:proofErr w:type="gramStart"/>
      <w:r w:rsidRPr="001759BA">
        <w:rPr>
          <w:szCs w:val="20"/>
        </w:rPr>
        <w:t>is in compliance with</w:t>
      </w:r>
      <w:proofErr w:type="gramEnd"/>
      <w:r>
        <w:rPr>
          <w:szCs w:val="20"/>
        </w:rPr>
        <w:t xml:space="preserve"> the </w:t>
      </w:r>
      <w:r w:rsidRPr="00FA358D">
        <w:t>Sponsor-Dedicated Workforce Housing Restrictions</w:t>
      </w:r>
      <w:r w:rsidRPr="001759BA">
        <w:t xml:space="preserve">.  In order to allow Lender to make such determination, on or before the Sponsor-Dedicated Workforce </w:t>
      </w:r>
      <w:r w:rsidR="00303667">
        <w:t xml:space="preserve">Housing </w:t>
      </w:r>
      <w:r w:rsidRPr="001759BA">
        <w:t xml:space="preserve">Commencement Date and on an annual basis thereafter on </w:t>
      </w:r>
      <w:r>
        <w:t xml:space="preserve">or before the anniversary of the Sponsor-Dedicated Workforce Housing Commencement Date, </w:t>
      </w:r>
      <w:r w:rsidRPr="001759BA">
        <w:t>Borrower shall deliver to Lender: (</w:t>
      </w:r>
      <w:r>
        <w:t>1</w:t>
      </w:r>
      <w:r w:rsidRPr="001759BA">
        <w:t xml:space="preserve">) a then-current completed Schedule of Rent Restricted Units, </w:t>
      </w:r>
      <w:r w:rsidRPr="001759BA">
        <w:rPr>
          <w:bCs/>
          <w:szCs w:val="20"/>
        </w:rPr>
        <w:t>(</w:t>
      </w:r>
      <w:r>
        <w:rPr>
          <w:bCs/>
          <w:szCs w:val="20"/>
        </w:rPr>
        <w:t>2</w:t>
      </w:r>
      <w:r w:rsidRPr="001759BA">
        <w:rPr>
          <w:bCs/>
          <w:szCs w:val="20"/>
        </w:rPr>
        <w:t>)</w:t>
      </w:r>
      <w:r w:rsidRPr="001759BA">
        <w:rPr>
          <w:szCs w:val="20"/>
        </w:rPr>
        <w:t> </w:t>
      </w:r>
      <w:r w:rsidRPr="001759BA">
        <w:rPr>
          <w:bCs/>
          <w:szCs w:val="20"/>
        </w:rPr>
        <w:t>the then</w:t>
      </w:r>
      <w:r>
        <w:rPr>
          <w:bCs/>
          <w:szCs w:val="20"/>
        </w:rPr>
        <w:t>-</w:t>
      </w:r>
      <w:r w:rsidRPr="001759BA">
        <w:rPr>
          <w:bCs/>
          <w:szCs w:val="20"/>
        </w:rPr>
        <w:t xml:space="preserve">current rent roll for the Mortgaged Property identifying every Rent Restricted Unit together with an executed certification by Borrower that Borrower and </w:t>
      </w:r>
      <w:r>
        <w:rPr>
          <w:bCs/>
          <w:szCs w:val="20"/>
        </w:rPr>
        <w:t xml:space="preserve">the </w:t>
      </w:r>
      <w:r w:rsidRPr="001759BA">
        <w:rPr>
          <w:bCs/>
          <w:szCs w:val="20"/>
        </w:rPr>
        <w:t xml:space="preserve">Rent Restricted Units are in </w:t>
      </w:r>
      <w:r w:rsidRPr="00C26DD0">
        <w:rPr>
          <w:bCs/>
          <w:szCs w:val="20"/>
        </w:rPr>
        <w:t xml:space="preserve">compliance with </w:t>
      </w:r>
      <w:r>
        <w:rPr>
          <w:bCs/>
          <w:szCs w:val="20"/>
        </w:rPr>
        <w:t xml:space="preserve">the </w:t>
      </w:r>
      <w:r w:rsidRPr="00FA358D">
        <w:rPr>
          <w:bCs/>
        </w:rPr>
        <w:t>Sponsor-Dedicated Workforce Housing Restrictions</w:t>
      </w:r>
      <w:r w:rsidRPr="001759BA">
        <w:rPr>
          <w:bCs/>
          <w:szCs w:val="20"/>
        </w:rPr>
        <w:t xml:space="preserve">, </w:t>
      </w:r>
      <w:r w:rsidRPr="005A2FDE">
        <w:rPr>
          <w:bCs/>
          <w:szCs w:val="20"/>
        </w:rPr>
        <w:t>and</w:t>
      </w:r>
      <w:r>
        <w:rPr>
          <w:bCs/>
          <w:szCs w:val="20"/>
        </w:rPr>
        <w:t xml:space="preserve"> </w:t>
      </w:r>
      <w:r w:rsidRPr="001759BA">
        <w:rPr>
          <w:bCs/>
          <w:szCs w:val="20"/>
        </w:rPr>
        <w:t>(</w:t>
      </w:r>
      <w:r>
        <w:rPr>
          <w:bCs/>
          <w:szCs w:val="20"/>
        </w:rPr>
        <w:t>3</w:t>
      </w:r>
      <w:r w:rsidRPr="001759BA">
        <w:rPr>
          <w:bCs/>
          <w:szCs w:val="20"/>
        </w:rPr>
        <w:t xml:space="preserve">) any other information reasonably requested by Lender to determine compliance with </w:t>
      </w:r>
      <w:r>
        <w:rPr>
          <w:bCs/>
          <w:szCs w:val="20"/>
        </w:rPr>
        <w:t xml:space="preserve">the </w:t>
      </w:r>
      <w:r w:rsidRPr="007658A6">
        <w:rPr>
          <w:bCs/>
        </w:rPr>
        <w:t>Sponsor-Dedicated Workforce Housing Restrictions</w:t>
      </w:r>
      <w:r w:rsidRPr="001759BA">
        <w:rPr>
          <w:bCs/>
          <w:szCs w:val="20"/>
        </w:rPr>
        <w:t xml:space="preserve">.  Copies of the foregoing items </w:t>
      </w:r>
      <w:r>
        <w:rPr>
          <w:bCs/>
          <w:szCs w:val="20"/>
        </w:rPr>
        <w:t xml:space="preserve">must </w:t>
      </w:r>
      <w:r w:rsidRPr="001759BA">
        <w:rPr>
          <w:bCs/>
          <w:szCs w:val="20"/>
        </w:rPr>
        <w:t>be retained by Borrower and Lender for the duration of the Loan Term.</w:t>
      </w:r>
    </w:p>
    <w:p w14:paraId="5C5B43B0" w14:textId="77777777" w:rsidR="00FC4EFD" w:rsidRPr="004D69A1" w:rsidRDefault="00FC4EFD" w:rsidP="00FC4EFD">
      <w:pPr>
        <w:keepNext/>
        <w:spacing w:after="360"/>
        <w:ind w:right="720"/>
        <w:jc w:val="center"/>
        <w:rPr>
          <w:b/>
        </w:rPr>
      </w:pPr>
      <w:r>
        <w:rPr>
          <w:b/>
        </w:rPr>
        <w:t>[Remainder of Page Intentionally Blank]</w:t>
      </w:r>
    </w:p>
    <w:p w14:paraId="6596000D" w14:textId="77777777" w:rsidR="00A32708" w:rsidRDefault="00A32708">
      <w:pPr>
        <w:spacing w:after="240"/>
        <w:sectPr w:rsidR="00A32708">
          <w:footerReference w:type="default" r:id="rId8"/>
          <w:pgSz w:w="12240" w:h="15840"/>
          <w:pgMar w:top="1440" w:right="1440" w:bottom="1440" w:left="1440" w:header="720" w:footer="720" w:gutter="0"/>
          <w:cols w:space="720"/>
          <w:docGrid w:linePitch="360"/>
        </w:sectPr>
      </w:pPr>
    </w:p>
    <w:p w14:paraId="384B4F1D" w14:textId="0334D927" w:rsidR="008439C1" w:rsidRPr="00B22CC4" w:rsidRDefault="008439C1" w:rsidP="00F77EFF">
      <w:pPr>
        <w:pStyle w:val="Title"/>
        <w:spacing w:after="240"/>
        <w:rPr>
          <w:u w:val="none"/>
        </w:rPr>
      </w:pPr>
      <w:r w:rsidRPr="00B22CC4">
        <w:rPr>
          <w:u w:val="none"/>
        </w:rPr>
        <w:lastRenderedPageBreak/>
        <w:t>SCHEDULE 1</w:t>
      </w:r>
    </w:p>
    <w:p w14:paraId="3C26E932" w14:textId="4B091D11" w:rsidR="008439C1" w:rsidRDefault="003D39A2" w:rsidP="008439C1">
      <w:pPr>
        <w:spacing w:after="240"/>
        <w:jc w:val="center"/>
        <w:rPr>
          <w:b/>
        </w:rPr>
      </w:pPr>
      <w:r>
        <w:rPr>
          <w:b/>
        </w:rPr>
        <w:t xml:space="preserve">FORM OF </w:t>
      </w:r>
      <w:r w:rsidR="008439C1">
        <w:rPr>
          <w:b/>
        </w:rPr>
        <w:t>SCHEDULE OF RENT</w:t>
      </w:r>
      <w:r w:rsidR="008439C1" w:rsidRPr="002A1C9F">
        <w:rPr>
          <w:b/>
        </w:rPr>
        <w:t xml:space="preserve"> RESTRICTED UNITS</w:t>
      </w:r>
    </w:p>
    <w:p w14:paraId="036AFAD3" w14:textId="207EC2ED" w:rsidR="003D39A2" w:rsidRPr="002A1C9F" w:rsidRDefault="003D39A2" w:rsidP="008439C1">
      <w:pPr>
        <w:spacing w:after="240"/>
        <w:jc w:val="center"/>
        <w:rPr>
          <w:b/>
        </w:rPr>
      </w:pPr>
      <w:r>
        <w:rPr>
          <w:b/>
        </w:rPr>
        <w:t xml:space="preserve">[TO BE COMPLETED BY BORROWER AND DELIVERED TO LENDER ON OR BEFORE THE SPONSOR-DEDICATED WORKFORCE </w:t>
      </w:r>
      <w:r w:rsidR="00303667">
        <w:rPr>
          <w:b/>
        </w:rPr>
        <w:t xml:space="preserve">HOUSING </w:t>
      </w:r>
      <w:r>
        <w:rPr>
          <w:b/>
        </w:rPr>
        <w:t>COMMENCEMENT DATE AND ON AN ANNUAL BASIS THEREAFTER.]</w:t>
      </w:r>
    </w:p>
    <w:p w14:paraId="3BCCFEF4" w14:textId="7FBB0D1D" w:rsidR="008439C1" w:rsidRDefault="008439C1" w:rsidP="008439C1">
      <w:pPr>
        <w:spacing w:after="240"/>
      </w:pPr>
      <w:r>
        <w:t>Total number of units:</w:t>
      </w:r>
    </w:p>
    <w:tbl>
      <w:tblPr>
        <w:tblStyle w:val="TableGrid"/>
        <w:tblW w:w="8545" w:type="dxa"/>
        <w:jc w:val="center"/>
        <w:tblLook w:val="04A0" w:firstRow="1" w:lastRow="0" w:firstColumn="1" w:lastColumn="0" w:noHBand="0" w:noVBand="1"/>
      </w:tblPr>
      <w:tblGrid>
        <w:gridCol w:w="1693"/>
        <w:gridCol w:w="1812"/>
        <w:gridCol w:w="2700"/>
        <w:gridCol w:w="2340"/>
      </w:tblGrid>
      <w:tr w:rsidR="008439C1" w14:paraId="55FFB67F" w14:textId="77777777" w:rsidTr="005B1838">
        <w:trPr>
          <w:jc w:val="center"/>
        </w:trPr>
        <w:tc>
          <w:tcPr>
            <w:tcW w:w="1693" w:type="dxa"/>
            <w:shd w:val="clear" w:color="auto" w:fill="D9D9D9" w:themeFill="background1" w:themeFillShade="D9"/>
          </w:tcPr>
          <w:p w14:paraId="425D9DAC" w14:textId="77777777" w:rsidR="008439C1" w:rsidRDefault="008439C1" w:rsidP="00876942">
            <w:pPr>
              <w:jc w:val="center"/>
              <w:rPr>
                <w:b/>
              </w:rPr>
            </w:pPr>
            <w:r>
              <w:rPr>
                <w:b/>
              </w:rPr>
              <w:t>Unit Number</w:t>
            </w:r>
          </w:p>
        </w:tc>
        <w:tc>
          <w:tcPr>
            <w:tcW w:w="1812" w:type="dxa"/>
            <w:shd w:val="clear" w:color="auto" w:fill="D9D9D9" w:themeFill="background1" w:themeFillShade="D9"/>
          </w:tcPr>
          <w:p w14:paraId="1C76B0D2" w14:textId="77777777" w:rsidR="008439C1" w:rsidRDefault="008439C1" w:rsidP="00876942">
            <w:pPr>
              <w:jc w:val="center"/>
              <w:rPr>
                <w:b/>
              </w:rPr>
            </w:pPr>
            <w:r>
              <w:rPr>
                <w:b/>
              </w:rPr>
              <w:t>Unit Size/# Bedrooms</w:t>
            </w:r>
          </w:p>
        </w:tc>
        <w:tc>
          <w:tcPr>
            <w:tcW w:w="2700" w:type="dxa"/>
            <w:shd w:val="clear" w:color="auto" w:fill="D9D9D9" w:themeFill="background1" w:themeFillShade="D9"/>
          </w:tcPr>
          <w:p w14:paraId="106A19E5" w14:textId="6FEDCDD3" w:rsidR="008439C1" w:rsidRDefault="008439C1" w:rsidP="00876942">
            <w:pPr>
              <w:jc w:val="center"/>
              <w:rPr>
                <w:b/>
              </w:rPr>
            </w:pPr>
            <w:r>
              <w:rPr>
                <w:b/>
              </w:rPr>
              <w:t xml:space="preserve">Maximum </w:t>
            </w:r>
            <w:r w:rsidR="003D39A2">
              <w:rPr>
                <w:b/>
              </w:rPr>
              <w:t>Area</w:t>
            </w:r>
            <w:r>
              <w:rPr>
                <w:b/>
              </w:rPr>
              <w:t xml:space="preserve"> Rent</w:t>
            </w:r>
          </w:p>
        </w:tc>
        <w:tc>
          <w:tcPr>
            <w:tcW w:w="2340" w:type="dxa"/>
            <w:shd w:val="clear" w:color="auto" w:fill="D9D9D9" w:themeFill="background1" w:themeFillShade="D9"/>
          </w:tcPr>
          <w:p w14:paraId="5170231B" w14:textId="77777777" w:rsidR="008439C1" w:rsidRDefault="008439C1" w:rsidP="00876942">
            <w:pPr>
              <w:jc w:val="center"/>
              <w:rPr>
                <w:b/>
              </w:rPr>
            </w:pPr>
            <w:r>
              <w:rPr>
                <w:b/>
              </w:rPr>
              <w:t>Actual Rent</w:t>
            </w:r>
          </w:p>
        </w:tc>
      </w:tr>
      <w:tr w:rsidR="008439C1" w14:paraId="62AE0D68" w14:textId="77777777" w:rsidTr="005B1838">
        <w:trPr>
          <w:jc w:val="center"/>
        </w:trPr>
        <w:tc>
          <w:tcPr>
            <w:tcW w:w="1693" w:type="dxa"/>
          </w:tcPr>
          <w:p w14:paraId="4E09115C" w14:textId="77777777" w:rsidR="008439C1" w:rsidRDefault="008439C1" w:rsidP="005B1838">
            <w:pPr>
              <w:rPr>
                <w:b/>
              </w:rPr>
            </w:pPr>
          </w:p>
        </w:tc>
        <w:tc>
          <w:tcPr>
            <w:tcW w:w="1812" w:type="dxa"/>
          </w:tcPr>
          <w:p w14:paraId="4CEBCD7D" w14:textId="77777777" w:rsidR="008439C1" w:rsidRDefault="008439C1" w:rsidP="005B1838">
            <w:pPr>
              <w:rPr>
                <w:b/>
              </w:rPr>
            </w:pPr>
          </w:p>
        </w:tc>
        <w:tc>
          <w:tcPr>
            <w:tcW w:w="2700" w:type="dxa"/>
          </w:tcPr>
          <w:p w14:paraId="0D3710CD" w14:textId="77777777" w:rsidR="008439C1" w:rsidRDefault="008439C1" w:rsidP="005B1838">
            <w:pPr>
              <w:rPr>
                <w:b/>
              </w:rPr>
            </w:pPr>
          </w:p>
        </w:tc>
        <w:tc>
          <w:tcPr>
            <w:tcW w:w="2340" w:type="dxa"/>
          </w:tcPr>
          <w:p w14:paraId="148C3A87" w14:textId="77777777" w:rsidR="008439C1" w:rsidRDefault="008439C1" w:rsidP="005B1838">
            <w:pPr>
              <w:rPr>
                <w:b/>
              </w:rPr>
            </w:pPr>
          </w:p>
        </w:tc>
      </w:tr>
      <w:tr w:rsidR="008439C1" w14:paraId="44EF100B" w14:textId="77777777" w:rsidTr="005B1838">
        <w:trPr>
          <w:jc w:val="center"/>
        </w:trPr>
        <w:tc>
          <w:tcPr>
            <w:tcW w:w="1693" w:type="dxa"/>
          </w:tcPr>
          <w:p w14:paraId="4A4529BE" w14:textId="77777777" w:rsidR="008439C1" w:rsidRDefault="008439C1" w:rsidP="005B1838">
            <w:pPr>
              <w:rPr>
                <w:b/>
              </w:rPr>
            </w:pPr>
          </w:p>
        </w:tc>
        <w:tc>
          <w:tcPr>
            <w:tcW w:w="1812" w:type="dxa"/>
          </w:tcPr>
          <w:p w14:paraId="5A5F4B7E" w14:textId="77777777" w:rsidR="008439C1" w:rsidRDefault="008439C1" w:rsidP="005B1838">
            <w:pPr>
              <w:rPr>
                <w:b/>
              </w:rPr>
            </w:pPr>
          </w:p>
        </w:tc>
        <w:tc>
          <w:tcPr>
            <w:tcW w:w="2700" w:type="dxa"/>
          </w:tcPr>
          <w:p w14:paraId="14E00914" w14:textId="77777777" w:rsidR="008439C1" w:rsidRDefault="008439C1" w:rsidP="005B1838">
            <w:pPr>
              <w:rPr>
                <w:b/>
              </w:rPr>
            </w:pPr>
          </w:p>
        </w:tc>
        <w:tc>
          <w:tcPr>
            <w:tcW w:w="2340" w:type="dxa"/>
          </w:tcPr>
          <w:p w14:paraId="71C8F1BF" w14:textId="77777777" w:rsidR="008439C1" w:rsidRDefault="008439C1" w:rsidP="005B1838">
            <w:pPr>
              <w:rPr>
                <w:b/>
              </w:rPr>
            </w:pPr>
          </w:p>
        </w:tc>
      </w:tr>
      <w:tr w:rsidR="008439C1" w14:paraId="46393C2E" w14:textId="77777777" w:rsidTr="005B1838">
        <w:trPr>
          <w:jc w:val="center"/>
        </w:trPr>
        <w:tc>
          <w:tcPr>
            <w:tcW w:w="1693" w:type="dxa"/>
          </w:tcPr>
          <w:p w14:paraId="22473FF4" w14:textId="77777777" w:rsidR="008439C1" w:rsidRDefault="008439C1" w:rsidP="005B1838">
            <w:pPr>
              <w:rPr>
                <w:b/>
              </w:rPr>
            </w:pPr>
          </w:p>
        </w:tc>
        <w:tc>
          <w:tcPr>
            <w:tcW w:w="1812" w:type="dxa"/>
          </w:tcPr>
          <w:p w14:paraId="226D31D5" w14:textId="77777777" w:rsidR="008439C1" w:rsidRDefault="008439C1" w:rsidP="005B1838">
            <w:pPr>
              <w:rPr>
                <w:b/>
              </w:rPr>
            </w:pPr>
          </w:p>
        </w:tc>
        <w:tc>
          <w:tcPr>
            <w:tcW w:w="2700" w:type="dxa"/>
          </w:tcPr>
          <w:p w14:paraId="521D8913" w14:textId="77777777" w:rsidR="008439C1" w:rsidRDefault="008439C1" w:rsidP="005B1838">
            <w:pPr>
              <w:rPr>
                <w:b/>
              </w:rPr>
            </w:pPr>
          </w:p>
        </w:tc>
        <w:tc>
          <w:tcPr>
            <w:tcW w:w="2340" w:type="dxa"/>
          </w:tcPr>
          <w:p w14:paraId="52208FCB" w14:textId="77777777" w:rsidR="008439C1" w:rsidRDefault="008439C1" w:rsidP="005B1838">
            <w:pPr>
              <w:rPr>
                <w:b/>
              </w:rPr>
            </w:pPr>
          </w:p>
        </w:tc>
      </w:tr>
      <w:tr w:rsidR="008439C1" w14:paraId="05040B63" w14:textId="77777777" w:rsidTr="005B1838">
        <w:trPr>
          <w:jc w:val="center"/>
        </w:trPr>
        <w:tc>
          <w:tcPr>
            <w:tcW w:w="1693" w:type="dxa"/>
          </w:tcPr>
          <w:p w14:paraId="1CC69DF5" w14:textId="77777777" w:rsidR="008439C1" w:rsidRDefault="008439C1" w:rsidP="005B1838">
            <w:pPr>
              <w:rPr>
                <w:b/>
              </w:rPr>
            </w:pPr>
          </w:p>
        </w:tc>
        <w:tc>
          <w:tcPr>
            <w:tcW w:w="1812" w:type="dxa"/>
          </w:tcPr>
          <w:p w14:paraId="0AA69367" w14:textId="77777777" w:rsidR="008439C1" w:rsidRDefault="008439C1" w:rsidP="005B1838">
            <w:pPr>
              <w:rPr>
                <w:b/>
              </w:rPr>
            </w:pPr>
          </w:p>
        </w:tc>
        <w:tc>
          <w:tcPr>
            <w:tcW w:w="2700" w:type="dxa"/>
          </w:tcPr>
          <w:p w14:paraId="33719044" w14:textId="77777777" w:rsidR="008439C1" w:rsidRDefault="008439C1" w:rsidP="005B1838">
            <w:pPr>
              <w:rPr>
                <w:b/>
              </w:rPr>
            </w:pPr>
          </w:p>
        </w:tc>
        <w:tc>
          <w:tcPr>
            <w:tcW w:w="2340" w:type="dxa"/>
          </w:tcPr>
          <w:p w14:paraId="26B83CDF" w14:textId="77777777" w:rsidR="008439C1" w:rsidRDefault="008439C1" w:rsidP="005B1838">
            <w:pPr>
              <w:rPr>
                <w:b/>
              </w:rPr>
            </w:pPr>
          </w:p>
        </w:tc>
      </w:tr>
      <w:tr w:rsidR="008439C1" w14:paraId="278292A8" w14:textId="77777777" w:rsidTr="005B1838">
        <w:trPr>
          <w:jc w:val="center"/>
        </w:trPr>
        <w:tc>
          <w:tcPr>
            <w:tcW w:w="1693" w:type="dxa"/>
          </w:tcPr>
          <w:p w14:paraId="07357650" w14:textId="77777777" w:rsidR="008439C1" w:rsidRDefault="008439C1" w:rsidP="005B1838">
            <w:pPr>
              <w:rPr>
                <w:b/>
              </w:rPr>
            </w:pPr>
          </w:p>
        </w:tc>
        <w:tc>
          <w:tcPr>
            <w:tcW w:w="1812" w:type="dxa"/>
          </w:tcPr>
          <w:p w14:paraId="29088805" w14:textId="77777777" w:rsidR="008439C1" w:rsidRDefault="008439C1" w:rsidP="005B1838">
            <w:pPr>
              <w:rPr>
                <w:b/>
              </w:rPr>
            </w:pPr>
          </w:p>
        </w:tc>
        <w:tc>
          <w:tcPr>
            <w:tcW w:w="2700" w:type="dxa"/>
          </w:tcPr>
          <w:p w14:paraId="4757010E" w14:textId="77777777" w:rsidR="008439C1" w:rsidRDefault="008439C1" w:rsidP="005B1838">
            <w:pPr>
              <w:rPr>
                <w:b/>
              </w:rPr>
            </w:pPr>
          </w:p>
        </w:tc>
        <w:tc>
          <w:tcPr>
            <w:tcW w:w="2340" w:type="dxa"/>
          </w:tcPr>
          <w:p w14:paraId="6FD05CBC" w14:textId="77777777" w:rsidR="008439C1" w:rsidRDefault="008439C1" w:rsidP="005B1838">
            <w:pPr>
              <w:rPr>
                <w:b/>
              </w:rPr>
            </w:pPr>
          </w:p>
        </w:tc>
      </w:tr>
      <w:tr w:rsidR="008439C1" w14:paraId="77BC780A" w14:textId="77777777" w:rsidTr="005B1838">
        <w:trPr>
          <w:jc w:val="center"/>
        </w:trPr>
        <w:tc>
          <w:tcPr>
            <w:tcW w:w="1693" w:type="dxa"/>
          </w:tcPr>
          <w:p w14:paraId="57410255" w14:textId="77777777" w:rsidR="008439C1" w:rsidRDefault="008439C1" w:rsidP="005B1838">
            <w:pPr>
              <w:rPr>
                <w:b/>
              </w:rPr>
            </w:pPr>
          </w:p>
        </w:tc>
        <w:tc>
          <w:tcPr>
            <w:tcW w:w="1812" w:type="dxa"/>
          </w:tcPr>
          <w:p w14:paraId="740365C5" w14:textId="77777777" w:rsidR="008439C1" w:rsidRDefault="008439C1" w:rsidP="005B1838">
            <w:pPr>
              <w:rPr>
                <w:b/>
              </w:rPr>
            </w:pPr>
          </w:p>
        </w:tc>
        <w:tc>
          <w:tcPr>
            <w:tcW w:w="2700" w:type="dxa"/>
          </w:tcPr>
          <w:p w14:paraId="4164302D" w14:textId="77777777" w:rsidR="008439C1" w:rsidRDefault="008439C1" w:rsidP="005B1838">
            <w:pPr>
              <w:rPr>
                <w:b/>
              </w:rPr>
            </w:pPr>
          </w:p>
        </w:tc>
        <w:tc>
          <w:tcPr>
            <w:tcW w:w="2340" w:type="dxa"/>
          </w:tcPr>
          <w:p w14:paraId="3B9900B2" w14:textId="77777777" w:rsidR="008439C1" w:rsidRDefault="008439C1" w:rsidP="005B1838">
            <w:pPr>
              <w:rPr>
                <w:b/>
              </w:rPr>
            </w:pPr>
          </w:p>
        </w:tc>
      </w:tr>
      <w:tr w:rsidR="008439C1" w14:paraId="448D15B1" w14:textId="77777777" w:rsidTr="005B1838">
        <w:trPr>
          <w:jc w:val="center"/>
        </w:trPr>
        <w:tc>
          <w:tcPr>
            <w:tcW w:w="1693" w:type="dxa"/>
          </w:tcPr>
          <w:p w14:paraId="14560D7F" w14:textId="77777777" w:rsidR="008439C1" w:rsidRDefault="008439C1" w:rsidP="005B1838">
            <w:pPr>
              <w:rPr>
                <w:b/>
              </w:rPr>
            </w:pPr>
          </w:p>
        </w:tc>
        <w:tc>
          <w:tcPr>
            <w:tcW w:w="1812" w:type="dxa"/>
          </w:tcPr>
          <w:p w14:paraId="44509056" w14:textId="77777777" w:rsidR="008439C1" w:rsidRDefault="008439C1" w:rsidP="005B1838">
            <w:pPr>
              <w:rPr>
                <w:b/>
              </w:rPr>
            </w:pPr>
          </w:p>
        </w:tc>
        <w:tc>
          <w:tcPr>
            <w:tcW w:w="2700" w:type="dxa"/>
          </w:tcPr>
          <w:p w14:paraId="61BE0CDB" w14:textId="77777777" w:rsidR="008439C1" w:rsidRDefault="008439C1" w:rsidP="005B1838">
            <w:pPr>
              <w:rPr>
                <w:b/>
              </w:rPr>
            </w:pPr>
          </w:p>
        </w:tc>
        <w:tc>
          <w:tcPr>
            <w:tcW w:w="2340" w:type="dxa"/>
          </w:tcPr>
          <w:p w14:paraId="530010B0" w14:textId="77777777" w:rsidR="008439C1" w:rsidRDefault="008439C1" w:rsidP="005B1838">
            <w:pPr>
              <w:rPr>
                <w:b/>
              </w:rPr>
            </w:pPr>
          </w:p>
        </w:tc>
      </w:tr>
      <w:tr w:rsidR="008439C1" w14:paraId="0AE4943C" w14:textId="77777777" w:rsidTr="005B1838">
        <w:trPr>
          <w:jc w:val="center"/>
        </w:trPr>
        <w:tc>
          <w:tcPr>
            <w:tcW w:w="1693" w:type="dxa"/>
          </w:tcPr>
          <w:p w14:paraId="7385F466" w14:textId="77777777" w:rsidR="008439C1" w:rsidRDefault="008439C1" w:rsidP="005B1838">
            <w:pPr>
              <w:rPr>
                <w:b/>
              </w:rPr>
            </w:pPr>
          </w:p>
        </w:tc>
        <w:tc>
          <w:tcPr>
            <w:tcW w:w="1812" w:type="dxa"/>
          </w:tcPr>
          <w:p w14:paraId="74FDE9BC" w14:textId="77777777" w:rsidR="008439C1" w:rsidRDefault="008439C1" w:rsidP="005B1838">
            <w:pPr>
              <w:rPr>
                <w:b/>
              </w:rPr>
            </w:pPr>
          </w:p>
        </w:tc>
        <w:tc>
          <w:tcPr>
            <w:tcW w:w="2700" w:type="dxa"/>
          </w:tcPr>
          <w:p w14:paraId="4BFCB4BA" w14:textId="77777777" w:rsidR="008439C1" w:rsidRDefault="008439C1" w:rsidP="005B1838">
            <w:pPr>
              <w:rPr>
                <w:b/>
              </w:rPr>
            </w:pPr>
          </w:p>
        </w:tc>
        <w:tc>
          <w:tcPr>
            <w:tcW w:w="2340" w:type="dxa"/>
          </w:tcPr>
          <w:p w14:paraId="38AE1EE9" w14:textId="77777777" w:rsidR="008439C1" w:rsidRDefault="008439C1" w:rsidP="005B1838">
            <w:pPr>
              <w:rPr>
                <w:b/>
              </w:rPr>
            </w:pPr>
          </w:p>
        </w:tc>
      </w:tr>
      <w:tr w:rsidR="008439C1" w14:paraId="3DE53A97" w14:textId="77777777" w:rsidTr="005B1838">
        <w:trPr>
          <w:jc w:val="center"/>
        </w:trPr>
        <w:tc>
          <w:tcPr>
            <w:tcW w:w="1693" w:type="dxa"/>
          </w:tcPr>
          <w:p w14:paraId="7E176F20" w14:textId="77777777" w:rsidR="008439C1" w:rsidRDefault="008439C1" w:rsidP="005B1838">
            <w:pPr>
              <w:rPr>
                <w:b/>
              </w:rPr>
            </w:pPr>
          </w:p>
        </w:tc>
        <w:tc>
          <w:tcPr>
            <w:tcW w:w="1812" w:type="dxa"/>
          </w:tcPr>
          <w:p w14:paraId="640F1AB4" w14:textId="77777777" w:rsidR="008439C1" w:rsidRDefault="008439C1" w:rsidP="005B1838">
            <w:pPr>
              <w:rPr>
                <w:b/>
              </w:rPr>
            </w:pPr>
          </w:p>
        </w:tc>
        <w:tc>
          <w:tcPr>
            <w:tcW w:w="2700" w:type="dxa"/>
          </w:tcPr>
          <w:p w14:paraId="328063CD" w14:textId="77777777" w:rsidR="008439C1" w:rsidRDefault="008439C1" w:rsidP="005B1838">
            <w:pPr>
              <w:rPr>
                <w:b/>
              </w:rPr>
            </w:pPr>
          </w:p>
        </w:tc>
        <w:tc>
          <w:tcPr>
            <w:tcW w:w="2340" w:type="dxa"/>
          </w:tcPr>
          <w:p w14:paraId="02818558" w14:textId="77777777" w:rsidR="008439C1" w:rsidRDefault="008439C1" w:rsidP="005B1838">
            <w:pPr>
              <w:rPr>
                <w:b/>
              </w:rPr>
            </w:pPr>
          </w:p>
        </w:tc>
      </w:tr>
      <w:tr w:rsidR="008439C1" w14:paraId="39D2D71F" w14:textId="77777777" w:rsidTr="005B1838">
        <w:trPr>
          <w:jc w:val="center"/>
        </w:trPr>
        <w:tc>
          <w:tcPr>
            <w:tcW w:w="1693" w:type="dxa"/>
          </w:tcPr>
          <w:p w14:paraId="1E05807C" w14:textId="77777777" w:rsidR="008439C1" w:rsidRDefault="008439C1" w:rsidP="005B1838">
            <w:pPr>
              <w:rPr>
                <w:b/>
              </w:rPr>
            </w:pPr>
          </w:p>
        </w:tc>
        <w:tc>
          <w:tcPr>
            <w:tcW w:w="1812" w:type="dxa"/>
          </w:tcPr>
          <w:p w14:paraId="541EE66B" w14:textId="77777777" w:rsidR="008439C1" w:rsidRDefault="008439C1" w:rsidP="005B1838">
            <w:pPr>
              <w:rPr>
                <w:b/>
              </w:rPr>
            </w:pPr>
          </w:p>
        </w:tc>
        <w:tc>
          <w:tcPr>
            <w:tcW w:w="2700" w:type="dxa"/>
          </w:tcPr>
          <w:p w14:paraId="407A7AC0" w14:textId="77777777" w:rsidR="008439C1" w:rsidRDefault="008439C1" w:rsidP="005B1838">
            <w:pPr>
              <w:rPr>
                <w:b/>
              </w:rPr>
            </w:pPr>
          </w:p>
        </w:tc>
        <w:tc>
          <w:tcPr>
            <w:tcW w:w="2340" w:type="dxa"/>
          </w:tcPr>
          <w:p w14:paraId="35C3F676" w14:textId="77777777" w:rsidR="008439C1" w:rsidRDefault="008439C1" w:rsidP="005B1838">
            <w:pPr>
              <w:rPr>
                <w:b/>
              </w:rPr>
            </w:pPr>
          </w:p>
        </w:tc>
      </w:tr>
      <w:tr w:rsidR="008439C1" w14:paraId="37F82589" w14:textId="77777777" w:rsidTr="005B1838">
        <w:trPr>
          <w:jc w:val="center"/>
        </w:trPr>
        <w:tc>
          <w:tcPr>
            <w:tcW w:w="1693" w:type="dxa"/>
          </w:tcPr>
          <w:p w14:paraId="68939A53" w14:textId="77777777" w:rsidR="008439C1" w:rsidRDefault="008439C1" w:rsidP="005B1838">
            <w:pPr>
              <w:rPr>
                <w:b/>
              </w:rPr>
            </w:pPr>
          </w:p>
        </w:tc>
        <w:tc>
          <w:tcPr>
            <w:tcW w:w="1812" w:type="dxa"/>
          </w:tcPr>
          <w:p w14:paraId="019448BC" w14:textId="77777777" w:rsidR="008439C1" w:rsidRDefault="008439C1" w:rsidP="005B1838">
            <w:pPr>
              <w:rPr>
                <w:b/>
              </w:rPr>
            </w:pPr>
          </w:p>
        </w:tc>
        <w:tc>
          <w:tcPr>
            <w:tcW w:w="2700" w:type="dxa"/>
          </w:tcPr>
          <w:p w14:paraId="30B6FAF6" w14:textId="77777777" w:rsidR="008439C1" w:rsidRDefault="008439C1" w:rsidP="005B1838">
            <w:pPr>
              <w:rPr>
                <w:b/>
              </w:rPr>
            </w:pPr>
          </w:p>
        </w:tc>
        <w:tc>
          <w:tcPr>
            <w:tcW w:w="2340" w:type="dxa"/>
          </w:tcPr>
          <w:p w14:paraId="76C67EB7" w14:textId="77777777" w:rsidR="008439C1" w:rsidRDefault="008439C1" w:rsidP="005B1838">
            <w:pPr>
              <w:rPr>
                <w:b/>
              </w:rPr>
            </w:pPr>
          </w:p>
        </w:tc>
      </w:tr>
      <w:tr w:rsidR="008439C1" w14:paraId="3682F29F" w14:textId="77777777" w:rsidTr="005B1838">
        <w:trPr>
          <w:jc w:val="center"/>
        </w:trPr>
        <w:tc>
          <w:tcPr>
            <w:tcW w:w="1693" w:type="dxa"/>
          </w:tcPr>
          <w:p w14:paraId="45C4BBFB" w14:textId="77777777" w:rsidR="008439C1" w:rsidRDefault="008439C1" w:rsidP="005B1838">
            <w:pPr>
              <w:rPr>
                <w:b/>
              </w:rPr>
            </w:pPr>
          </w:p>
        </w:tc>
        <w:tc>
          <w:tcPr>
            <w:tcW w:w="1812" w:type="dxa"/>
          </w:tcPr>
          <w:p w14:paraId="276C6367" w14:textId="77777777" w:rsidR="008439C1" w:rsidRDefault="008439C1" w:rsidP="005B1838">
            <w:pPr>
              <w:rPr>
                <w:b/>
              </w:rPr>
            </w:pPr>
          </w:p>
        </w:tc>
        <w:tc>
          <w:tcPr>
            <w:tcW w:w="2700" w:type="dxa"/>
          </w:tcPr>
          <w:p w14:paraId="042E2A62" w14:textId="77777777" w:rsidR="008439C1" w:rsidRDefault="008439C1" w:rsidP="005B1838">
            <w:pPr>
              <w:rPr>
                <w:b/>
              </w:rPr>
            </w:pPr>
          </w:p>
        </w:tc>
        <w:tc>
          <w:tcPr>
            <w:tcW w:w="2340" w:type="dxa"/>
          </w:tcPr>
          <w:p w14:paraId="7A1C9B69" w14:textId="77777777" w:rsidR="008439C1" w:rsidRDefault="008439C1" w:rsidP="005B1838">
            <w:pPr>
              <w:rPr>
                <w:b/>
              </w:rPr>
            </w:pPr>
          </w:p>
        </w:tc>
      </w:tr>
      <w:tr w:rsidR="008439C1" w14:paraId="13524A97" w14:textId="77777777" w:rsidTr="005B1838">
        <w:trPr>
          <w:jc w:val="center"/>
        </w:trPr>
        <w:tc>
          <w:tcPr>
            <w:tcW w:w="1693" w:type="dxa"/>
          </w:tcPr>
          <w:p w14:paraId="58A291C1" w14:textId="77777777" w:rsidR="008439C1" w:rsidRDefault="008439C1" w:rsidP="005B1838">
            <w:pPr>
              <w:rPr>
                <w:b/>
              </w:rPr>
            </w:pPr>
          </w:p>
        </w:tc>
        <w:tc>
          <w:tcPr>
            <w:tcW w:w="1812" w:type="dxa"/>
          </w:tcPr>
          <w:p w14:paraId="6FBE8AB4" w14:textId="77777777" w:rsidR="008439C1" w:rsidRDefault="008439C1" w:rsidP="005B1838">
            <w:pPr>
              <w:rPr>
                <w:b/>
              </w:rPr>
            </w:pPr>
          </w:p>
        </w:tc>
        <w:tc>
          <w:tcPr>
            <w:tcW w:w="2700" w:type="dxa"/>
          </w:tcPr>
          <w:p w14:paraId="7BDC0350" w14:textId="77777777" w:rsidR="008439C1" w:rsidRDefault="008439C1" w:rsidP="005B1838">
            <w:pPr>
              <w:rPr>
                <w:b/>
              </w:rPr>
            </w:pPr>
          </w:p>
        </w:tc>
        <w:tc>
          <w:tcPr>
            <w:tcW w:w="2340" w:type="dxa"/>
          </w:tcPr>
          <w:p w14:paraId="427811DE" w14:textId="77777777" w:rsidR="008439C1" w:rsidRDefault="008439C1" w:rsidP="005B1838">
            <w:pPr>
              <w:rPr>
                <w:b/>
              </w:rPr>
            </w:pPr>
          </w:p>
        </w:tc>
      </w:tr>
      <w:tr w:rsidR="008439C1" w14:paraId="572680ED" w14:textId="77777777" w:rsidTr="005B1838">
        <w:trPr>
          <w:jc w:val="center"/>
        </w:trPr>
        <w:tc>
          <w:tcPr>
            <w:tcW w:w="1693" w:type="dxa"/>
          </w:tcPr>
          <w:p w14:paraId="57044DA2" w14:textId="77777777" w:rsidR="008439C1" w:rsidRDefault="008439C1" w:rsidP="005B1838">
            <w:pPr>
              <w:rPr>
                <w:b/>
              </w:rPr>
            </w:pPr>
          </w:p>
        </w:tc>
        <w:tc>
          <w:tcPr>
            <w:tcW w:w="1812" w:type="dxa"/>
          </w:tcPr>
          <w:p w14:paraId="5B232454" w14:textId="77777777" w:rsidR="008439C1" w:rsidRDefault="008439C1" w:rsidP="005B1838">
            <w:pPr>
              <w:rPr>
                <w:b/>
              </w:rPr>
            </w:pPr>
          </w:p>
        </w:tc>
        <w:tc>
          <w:tcPr>
            <w:tcW w:w="2700" w:type="dxa"/>
          </w:tcPr>
          <w:p w14:paraId="6E359A9B" w14:textId="77777777" w:rsidR="008439C1" w:rsidRDefault="008439C1" w:rsidP="005B1838">
            <w:pPr>
              <w:rPr>
                <w:b/>
              </w:rPr>
            </w:pPr>
          </w:p>
        </w:tc>
        <w:tc>
          <w:tcPr>
            <w:tcW w:w="2340" w:type="dxa"/>
          </w:tcPr>
          <w:p w14:paraId="19792253" w14:textId="77777777" w:rsidR="008439C1" w:rsidRDefault="008439C1" w:rsidP="005B1838">
            <w:pPr>
              <w:rPr>
                <w:b/>
              </w:rPr>
            </w:pPr>
          </w:p>
        </w:tc>
      </w:tr>
      <w:tr w:rsidR="008439C1" w14:paraId="74887FD4" w14:textId="77777777" w:rsidTr="005B1838">
        <w:trPr>
          <w:jc w:val="center"/>
        </w:trPr>
        <w:tc>
          <w:tcPr>
            <w:tcW w:w="1693" w:type="dxa"/>
          </w:tcPr>
          <w:p w14:paraId="7B2CD577" w14:textId="77777777" w:rsidR="008439C1" w:rsidRDefault="008439C1" w:rsidP="005B1838">
            <w:pPr>
              <w:rPr>
                <w:b/>
              </w:rPr>
            </w:pPr>
          </w:p>
        </w:tc>
        <w:tc>
          <w:tcPr>
            <w:tcW w:w="1812" w:type="dxa"/>
          </w:tcPr>
          <w:p w14:paraId="0206407A" w14:textId="77777777" w:rsidR="008439C1" w:rsidRDefault="008439C1" w:rsidP="005B1838">
            <w:pPr>
              <w:rPr>
                <w:b/>
              </w:rPr>
            </w:pPr>
          </w:p>
        </w:tc>
        <w:tc>
          <w:tcPr>
            <w:tcW w:w="2700" w:type="dxa"/>
          </w:tcPr>
          <w:p w14:paraId="44E440BE" w14:textId="77777777" w:rsidR="008439C1" w:rsidRDefault="008439C1" w:rsidP="005B1838">
            <w:pPr>
              <w:rPr>
                <w:b/>
              </w:rPr>
            </w:pPr>
          </w:p>
        </w:tc>
        <w:tc>
          <w:tcPr>
            <w:tcW w:w="2340" w:type="dxa"/>
          </w:tcPr>
          <w:p w14:paraId="03948A41" w14:textId="77777777" w:rsidR="008439C1" w:rsidRDefault="008439C1" w:rsidP="005B1838">
            <w:pPr>
              <w:rPr>
                <w:b/>
              </w:rPr>
            </w:pPr>
          </w:p>
        </w:tc>
      </w:tr>
      <w:tr w:rsidR="008439C1" w14:paraId="31162A8C" w14:textId="77777777" w:rsidTr="005B1838">
        <w:trPr>
          <w:jc w:val="center"/>
        </w:trPr>
        <w:tc>
          <w:tcPr>
            <w:tcW w:w="1693" w:type="dxa"/>
          </w:tcPr>
          <w:p w14:paraId="339CEC44" w14:textId="77777777" w:rsidR="008439C1" w:rsidRDefault="008439C1" w:rsidP="005B1838">
            <w:pPr>
              <w:rPr>
                <w:b/>
              </w:rPr>
            </w:pPr>
          </w:p>
        </w:tc>
        <w:tc>
          <w:tcPr>
            <w:tcW w:w="1812" w:type="dxa"/>
          </w:tcPr>
          <w:p w14:paraId="2620B71C" w14:textId="77777777" w:rsidR="008439C1" w:rsidRDefault="008439C1" w:rsidP="005B1838">
            <w:pPr>
              <w:rPr>
                <w:b/>
              </w:rPr>
            </w:pPr>
          </w:p>
        </w:tc>
        <w:tc>
          <w:tcPr>
            <w:tcW w:w="2700" w:type="dxa"/>
          </w:tcPr>
          <w:p w14:paraId="501D6ECF" w14:textId="77777777" w:rsidR="008439C1" w:rsidRDefault="008439C1" w:rsidP="005B1838">
            <w:pPr>
              <w:rPr>
                <w:b/>
              </w:rPr>
            </w:pPr>
          </w:p>
        </w:tc>
        <w:tc>
          <w:tcPr>
            <w:tcW w:w="2340" w:type="dxa"/>
          </w:tcPr>
          <w:p w14:paraId="1430D989" w14:textId="77777777" w:rsidR="008439C1" w:rsidRDefault="008439C1" w:rsidP="005B1838">
            <w:pPr>
              <w:rPr>
                <w:b/>
              </w:rPr>
            </w:pPr>
          </w:p>
        </w:tc>
      </w:tr>
      <w:tr w:rsidR="008439C1" w14:paraId="50BEFF7D" w14:textId="77777777" w:rsidTr="005B1838">
        <w:trPr>
          <w:jc w:val="center"/>
        </w:trPr>
        <w:tc>
          <w:tcPr>
            <w:tcW w:w="1693" w:type="dxa"/>
          </w:tcPr>
          <w:p w14:paraId="3A6B052A" w14:textId="77777777" w:rsidR="008439C1" w:rsidRDefault="008439C1" w:rsidP="005B1838">
            <w:pPr>
              <w:rPr>
                <w:b/>
              </w:rPr>
            </w:pPr>
          </w:p>
        </w:tc>
        <w:tc>
          <w:tcPr>
            <w:tcW w:w="1812" w:type="dxa"/>
          </w:tcPr>
          <w:p w14:paraId="36B200F6" w14:textId="77777777" w:rsidR="008439C1" w:rsidRDefault="008439C1" w:rsidP="005B1838">
            <w:pPr>
              <w:rPr>
                <w:b/>
              </w:rPr>
            </w:pPr>
          </w:p>
        </w:tc>
        <w:tc>
          <w:tcPr>
            <w:tcW w:w="2700" w:type="dxa"/>
          </w:tcPr>
          <w:p w14:paraId="65DBBC00" w14:textId="77777777" w:rsidR="008439C1" w:rsidRDefault="008439C1" w:rsidP="005B1838">
            <w:pPr>
              <w:rPr>
                <w:b/>
              </w:rPr>
            </w:pPr>
          </w:p>
        </w:tc>
        <w:tc>
          <w:tcPr>
            <w:tcW w:w="2340" w:type="dxa"/>
          </w:tcPr>
          <w:p w14:paraId="39C835A6" w14:textId="77777777" w:rsidR="008439C1" w:rsidRDefault="008439C1" w:rsidP="005B1838">
            <w:pPr>
              <w:rPr>
                <w:b/>
              </w:rPr>
            </w:pPr>
          </w:p>
        </w:tc>
      </w:tr>
      <w:tr w:rsidR="008439C1" w14:paraId="5DEACAD5" w14:textId="77777777" w:rsidTr="005B1838">
        <w:trPr>
          <w:jc w:val="center"/>
        </w:trPr>
        <w:tc>
          <w:tcPr>
            <w:tcW w:w="1693" w:type="dxa"/>
          </w:tcPr>
          <w:p w14:paraId="4A5C449D" w14:textId="77777777" w:rsidR="008439C1" w:rsidRDefault="008439C1" w:rsidP="005B1838">
            <w:pPr>
              <w:rPr>
                <w:b/>
              </w:rPr>
            </w:pPr>
          </w:p>
        </w:tc>
        <w:tc>
          <w:tcPr>
            <w:tcW w:w="1812" w:type="dxa"/>
          </w:tcPr>
          <w:p w14:paraId="50C10B95" w14:textId="77777777" w:rsidR="008439C1" w:rsidRDefault="008439C1" w:rsidP="005B1838">
            <w:pPr>
              <w:rPr>
                <w:b/>
              </w:rPr>
            </w:pPr>
          </w:p>
        </w:tc>
        <w:tc>
          <w:tcPr>
            <w:tcW w:w="2700" w:type="dxa"/>
          </w:tcPr>
          <w:p w14:paraId="18E63716" w14:textId="77777777" w:rsidR="008439C1" w:rsidRDefault="008439C1" w:rsidP="005B1838">
            <w:pPr>
              <w:rPr>
                <w:b/>
              </w:rPr>
            </w:pPr>
          </w:p>
        </w:tc>
        <w:tc>
          <w:tcPr>
            <w:tcW w:w="2340" w:type="dxa"/>
          </w:tcPr>
          <w:p w14:paraId="52DC064E" w14:textId="77777777" w:rsidR="008439C1" w:rsidRDefault="008439C1" w:rsidP="005B1838">
            <w:pPr>
              <w:rPr>
                <w:b/>
              </w:rPr>
            </w:pPr>
          </w:p>
        </w:tc>
      </w:tr>
      <w:tr w:rsidR="008439C1" w14:paraId="35F6965F" w14:textId="77777777" w:rsidTr="005B1838">
        <w:trPr>
          <w:jc w:val="center"/>
        </w:trPr>
        <w:tc>
          <w:tcPr>
            <w:tcW w:w="1693" w:type="dxa"/>
          </w:tcPr>
          <w:p w14:paraId="137427D2" w14:textId="77777777" w:rsidR="008439C1" w:rsidRDefault="008439C1" w:rsidP="005B1838">
            <w:pPr>
              <w:rPr>
                <w:b/>
              </w:rPr>
            </w:pPr>
          </w:p>
        </w:tc>
        <w:tc>
          <w:tcPr>
            <w:tcW w:w="1812" w:type="dxa"/>
          </w:tcPr>
          <w:p w14:paraId="6A285FFB" w14:textId="77777777" w:rsidR="008439C1" w:rsidRDefault="008439C1" w:rsidP="005B1838">
            <w:pPr>
              <w:rPr>
                <w:b/>
              </w:rPr>
            </w:pPr>
          </w:p>
        </w:tc>
        <w:tc>
          <w:tcPr>
            <w:tcW w:w="2700" w:type="dxa"/>
          </w:tcPr>
          <w:p w14:paraId="29F6FEF8" w14:textId="77777777" w:rsidR="008439C1" w:rsidRDefault="008439C1" w:rsidP="005B1838">
            <w:pPr>
              <w:rPr>
                <w:b/>
              </w:rPr>
            </w:pPr>
          </w:p>
        </w:tc>
        <w:tc>
          <w:tcPr>
            <w:tcW w:w="2340" w:type="dxa"/>
          </w:tcPr>
          <w:p w14:paraId="03A04152" w14:textId="77777777" w:rsidR="008439C1" w:rsidRDefault="008439C1" w:rsidP="005B1838">
            <w:pPr>
              <w:rPr>
                <w:b/>
              </w:rPr>
            </w:pPr>
          </w:p>
        </w:tc>
      </w:tr>
      <w:tr w:rsidR="008439C1" w14:paraId="55651ED2" w14:textId="77777777" w:rsidTr="005B1838">
        <w:trPr>
          <w:jc w:val="center"/>
        </w:trPr>
        <w:tc>
          <w:tcPr>
            <w:tcW w:w="1693" w:type="dxa"/>
          </w:tcPr>
          <w:p w14:paraId="4FF37B19" w14:textId="77777777" w:rsidR="008439C1" w:rsidRDefault="008439C1" w:rsidP="005B1838">
            <w:pPr>
              <w:rPr>
                <w:b/>
              </w:rPr>
            </w:pPr>
          </w:p>
        </w:tc>
        <w:tc>
          <w:tcPr>
            <w:tcW w:w="1812" w:type="dxa"/>
          </w:tcPr>
          <w:p w14:paraId="4AC65DF3" w14:textId="77777777" w:rsidR="008439C1" w:rsidRDefault="008439C1" w:rsidP="005B1838">
            <w:pPr>
              <w:rPr>
                <w:b/>
              </w:rPr>
            </w:pPr>
          </w:p>
        </w:tc>
        <w:tc>
          <w:tcPr>
            <w:tcW w:w="2700" w:type="dxa"/>
          </w:tcPr>
          <w:p w14:paraId="370F1463" w14:textId="77777777" w:rsidR="008439C1" w:rsidRDefault="008439C1" w:rsidP="005B1838">
            <w:pPr>
              <w:rPr>
                <w:b/>
              </w:rPr>
            </w:pPr>
          </w:p>
        </w:tc>
        <w:tc>
          <w:tcPr>
            <w:tcW w:w="2340" w:type="dxa"/>
          </w:tcPr>
          <w:p w14:paraId="588DDD06" w14:textId="77777777" w:rsidR="008439C1" w:rsidRDefault="008439C1" w:rsidP="005B1838">
            <w:pPr>
              <w:rPr>
                <w:b/>
              </w:rPr>
            </w:pPr>
          </w:p>
        </w:tc>
      </w:tr>
      <w:tr w:rsidR="008439C1" w14:paraId="51290868" w14:textId="77777777" w:rsidTr="005B1838">
        <w:trPr>
          <w:jc w:val="center"/>
        </w:trPr>
        <w:tc>
          <w:tcPr>
            <w:tcW w:w="1693" w:type="dxa"/>
          </w:tcPr>
          <w:p w14:paraId="235C50DB" w14:textId="77777777" w:rsidR="008439C1" w:rsidRDefault="008439C1" w:rsidP="005B1838">
            <w:pPr>
              <w:rPr>
                <w:b/>
              </w:rPr>
            </w:pPr>
          </w:p>
        </w:tc>
        <w:tc>
          <w:tcPr>
            <w:tcW w:w="1812" w:type="dxa"/>
          </w:tcPr>
          <w:p w14:paraId="2796B0FC" w14:textId="77777777" w:rsidR="008439C1" w:rsidRDefault="008439C1" w:rsidP="005B1838">
            <w:pPr>
              <w:rPr>
                <w:b/>
              </w:rPr>
            </w:pPr>
          </w:p>
        </w:tc>
        <w:tc>
          <w:tcPr>
            <w:tcW w:w="2700" w:type="dxa"/>
          </w:tcPr>
          <w:p w14:paraId="5B107BB4" w14:textId="77777777" w:rsidR="008439C1" w:rsidRDefault="008439C1" w:rsidP="005B1838">
            <w:pPr>
              <w:rPr>
                <w:b/>
              </w:rPr>
            </w:pPr>
          </w:p>
        </w:tc>
        <w:tc>
          <w:tcPr>
            <w:tcW w:w="2340" w:type="dxa"/>
          </w:tcPr>
          <w:p w14:paraId="22667F29" w14:textId="77777777" w:rsidR="008439C1" w:rsidRDefault="008439C1" w:rsidP="005B1838">
            <w:pPr>
              <w:rPr>
                <w:b/>
              </w:rPr>
            </w:pPr>
          </w:p>
        </w:tc>
      </w:tr>
      <w:tr w:rsidR="008439C1" w14:paraId="47F9E9AD" w14:textId="77777777" w:rsidTr="005B1838">
        <w:trPr>
          <w:jc w:val="center"/>
        </w:trPr>
        <w:tc>
          <w:tcPr>
            <w:tcW w:w="1693" w:type="dxa"/>
          </w:tcPr>
          <w:p w14:paraId="2E3466AF" w14:textId="77777777" w:rsidR="008439C1" w:rsidRDefault="008439C1" w:rsidP="005B1838">
            <w:pPr>
              <w:rPr>
                <w:b/>
              </w:rPr>
            </w:pPr>
          </w:p>
        </w:tc>
        <w:tc>
          <w:tcPr>
            <w:tcW w:w="1812" w:type="dxa"/>
          </w:tcPr>
          <w:p w14:paraId="2B540671" w14:textId="77777777" w:rsidR="008439C1" w:rsidRDefault="008439C1" w:rsidP="005B1838">
            <w:pPr>
              <w:rPr>
                <w:b/>
              </w:rPr>
            </w:pPr>
          </w:p>
        </w:tc>
        <w:tc>
          <w:tcPr>
            <w:tcW w:w="2700" w:type="dxa"/>
          </w:tcPr>
          <w:p w14:paraId="5187DFBC" w14:textId="77777777" w:rsidR="008439C1" w:rsidRDefault="008439C1" w:rsidP="005B1838">
            <w:pPr>
              <w:rPr>
                <w:b/>
              </w:rPr>
            </w:pPr>
          </w:p>
        </w:tc>
        <w:tc>
          <w:tcPr>
            <w:tcW w:w="2340" w:type="dxa"/>
          </w:tcPr>
          <w:p w14:paraId="649F2276" w14:textId="77777777" w:rsidR="008439C1" w:rsidRDefault="008439C1" w:rsidP="005B1838">
            <w:pPr>
              <w:rPr>
                <w:b/>
              </w:rPr>
            </w:pPr>
          </w:p>
        </w:tc>
      </w:tr>
      <w:tr w:rsidR="008439C1" w14:paraId="5B5C10DF" w14:textId="77777777" w:rsidTr="005B1838">
        <w:trPr>
          <w:jc w:val="center"/>
        </w:trPr>
        <w:tc>
          <w:tcPr>
            <w:tcW w:w="1693" w:type="dxa"/>
          </w:tcPr>
          <w:p w14:paraId="59865F66" w14:textId="77777777" w:rsidR="008439C1" w:rsidRDefault="008439C1" w:rsidP="005B1838">
            <w:pPr>
              <w:rPr>
                <w:b/>
              </w:rPr>
            </w:pPr>
          </w:p>
        </w:tc>
        <w:tc>
          <w:tcPr>
            <w:tcW w:w="1812" w:type="dxa"/>
          </w:tcPr>
          <w:p w14:paraId="1306A5D2" w14:textId="77777777" w:rsidR="008439C1" w:rsidRDefault="008439C1" w:rsidP="005B1838">
            <w:pPr>
              <w:rPr>
                <w:b/>
              </w:rPr>
            </w:pPr>
          </w:p>
        </w:tc>
        <w:tc>
          <w:tcPr>
            <w:tcW w:w="2700" w:type="dxa"/>
          </w:tcPr>
          <w:p w14:paraId="011433FF" w14:textId="77777777" w:rsidR="008439C1" w:rsidRDefault="008439C1" w:rsidP="005B1838">
            <w:pPr>
              <w:rPr>
                <w:b/>
              </w:rPr>
            </w:pPr>
          </w:p>
        </w:tc>
        <w:tc>
          <w:tcPr>
            <w:tcW w:w="2340" w:type="dxa"/>
          </w:tcPr>
          <w:p w14:paraId="7F1B74C8" w14:textId="77777777" w:rsidR="008439C1" w:rsidRDefault="008439C1" w:rsidP="005B1838">
            <w:pPr>
              <w:rPr>
                <w:b/>
              </w:rPr>
            </w:pPr>
          </w:p>
        </w:tc>
      </w:tr>
      <w:tr w:rsidR="008439C1" w14:paraId="53D7B1B6" w14:textId="77777777" w:rsidTr="005B1838">
        <w:trPr>
          <w:jc w:val="center"/>
        </w:trPr>
        <w:tc>
          <w:tcPr>
            <w:tcW w:w="1693" w:type="dxa"/>
          </w:tcPr>
          <w:p w14:paraId="760015E6" w14:textId="77777777" w:rsidR="008439C1" w:rsidRDefault="008439C1" w:rsidP="005B1838">
            <w:pPr>
              <w:rPr>
                <w:b/>
              </w:rPr>
            </w:pPr>
          </w:p>
        </w:tc>
        <w:tc>
          <w:tcPr>
            <w:tcW w:w="1812" w:type="dxa"/>
          </w:tcPr>
          <w:p w14:paraId="7C54FF0E" w14:textId="77777777" w:rsidR="008439C1" w:rsidRDefault="008439C1" w:rsidP="005B1838">
            <w:pPr>
              <w:rPr>
                <w:b/>
              </w:rPr>
            </w:pPr>
          </w:p>
        </w:tc>
        <w:tc>
          <w:tcPr>
            <w:tcW w:w="2700" w:type="dxa"/>
          </w:tcPr>
          <w:p w14:paraId="63C9A881" w14:textId="77777777" w:rsidR="008439C1" w:rsidRDefault="008439C1" w:rsidP="005B1838">
            <w:pPr>
              <w:rPr>
                <w:b/>
              </w:rPr>
            </w:pPr>
          </w:p>
        </w:tc>
        <w:tc>
          <w:tcPr>
            <w:tcW w:w="2340" w:type="dxa"/>
          </w:tcPr>
          <w:p w14:paraId="4A5256C5" w14:textId="77777777" w:rsidR="008439C1" w:rsidRDefault="008439C1" w:rsidP="005B1838">
            <w:pPr>
              <w:rPr>
                <w:b/>
              </w:rPr>
            </w:pPr>
          </w:p>
        </w:tc>
      </w:tr>
      <w:tr w:rsidR="008439C1" w14:paraId="5C81E1EE" w14:textId="77777777" w:rsidTr="005B1838">
        <w:trPr>
          <w:jc w:val="center"/>
        </w:trPr>
        <w:tc>
          <w:tcPr>
            <w:tcW w:w="1693" w:type="dxa"/>
          </w:tcPr>
          <w:p w14:paraId="14C96D69" w14:textId="77777777" w:rsidR="008439C1" w:rsidRDefault="008439C1" w:rsidP="005B1838">
            <w:pPr>
              <w:rPr>
                <w:b/>
              </w:rPr>
            </w:pPr>
          </w:p>
        </w:tc>
        <w:tc>
          <w:tcPr>
            <w:tcW w:w="1812" w:type="dxa"/>
          </w:tcPr>
          <w:p w14:paraId="0E7703E7" w14:textId="77777777" w:rsidR="008439C1" w:rsidRDefault="008439C1" w:rsidP="005B1838">
            <w:pPr>
              <w:rPr>
                <w:b/>
              </w:rPr>
            </w:pPr>
          </w:p>
        </w:tc>
        <w:tc>
          <w:tcPr>
            <w:tcW w:w="2700" w:type="dxa"/>
          </w:tcPr>
          <w:p w14:paraId="06DD7596" w14:textId="77777777" w:rsidR="008439C1" w:rsidRDefault="008439C1" w:rsidP="005B1838">
            <w:pPr>
              <w:rPr>
                <w:b/>
              </w:rPr>
            </w:pPr>
          </w:p>
        </w:tc>
        <w:tc>
          <w:tcPr>
            <w:tcW w:w="2340" w:type="dxa"/>
          </w:tcPr>
          <w:p w14:paraId="78F4A599" w14:textId="77777777" w:rsidR="008439C1" w:rsidRDefault="008439C1" w:rsidP="005B1838">
            <w:pPr>
              <w:rPr>
                <w:b/>
              </w:rPr>
            </w:pPr>
          </w:p>
        </w:tc>
      </w:tr>
      <w:tr w:rsidR="008439C1" w14:paraId="3E38A287" w14:textId="77777777" w:rsidTr="005B1838">
        <w:trPr>
          <w:jc w:val="center"/>
        </w:trPr>
        <w:tc>
          <w:tcPr>
            <w:tcW w:w="1693" w:type="dxa"/>
          </w:tcPr>
          <w:p w14:paraId="7DC55155" w14:textId="77777777" w:rsidR="008439C1" w:rsidRDefault="008439C1" w:rsidP="005B1838">
            <w:pPr>
              <w:rPr>
                <w:b/>
              </w:rPr>
            </w:pPr>
          </w:p>
        </w:tc>
        <w:tc>
          <w:tcPr>
            <w:tcW w:w="1812" w:type="dxa"/>
          </w:tcPr>
          <w:p w14:paraId="15CE1CF9" w14:textId="77777777" w:rsidR="008439C1" w:rsidRDefault="008439C1" w:rsidP="005B1838">
            <w:pPr>
              <w:rPr>
                <w:b/>
              </w:rPr>
            </w:pPr>
          </w:p>
        </w:tc>
        <w:tc>
          <w:tcPr>
            <w:tcW w:w="2700" w:type="dxa"/>
          </w:tcPr>
          <w:p w14:paraId="1F3A2FEF" w14:textId="77777777" w:rsidR="008439C1" w:rsidRDefault="008439C1" w:rsidP="005B1838">
            <w:pPr>
              <w:rPr>
                <w:b/>
              </w:rPr>
            </w:pPr>
          </w:p>
        </w:tc>
        <w:tc>
          <w:tcPr>
            <w:tcW w:w="2340" w:type="dxa"/>
          </w:tcPr>
          <w:p w14:paraId="164DB580" w14:textId="77777777" w:rsidR="008439C1" w:rsidRDefault="008439C1" w:rsidP="005B1838">
            <w:pPr>
              <w:rPr>
                <w:b/>
              </w:rPr>
            </w:pPr>
          </w:p>
        </w:tc>
      </w:tr>
    </w:tbl>
    <w:p w14:paraId="1DBFE345" w14:textId="77777777" w:rsidR="008439C1" w:rsidRPr="00FB1D1E" w:rsidRDefault="008439C1" w:rsidP="008439C1">
      <w:pPr>
        <w:pStyle w:val="BodyText"/>
        <w:spacing w:after="360"/>
        <w:ind w:left="720" w:right="720" w:firstLine="720"/>
        <w:jc w:val="center"/>
        <w:rPr>
          <w:b/>
          <w:color w:val="000000"/>
        </w:rPr>
      </w:pPr>
    </w:p>
    <w:sectPr w:rsidR="008439C1" w:rsidRPr="00FB1D1E" w:rsidSect="00A32708">
      <w:footerReference w:type="even" r:id="rId9"/>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AAC9" w14:textId="77777777" w:rsidR="00F571EF" w:rsidRDefault="00F571EF" w:rsidP="00045855">
      <w:r>
        <w:separator/>
      </w:r>
    </w:p>
  </w:endnote>
  <w:endnote w:type="continuationSeparator" w:id="0">
    <w:p w14:paraId="2F4FEEBC" w14:textId="77777777" w:rsidR="00F571EF" w:rsidRDefault="00F571EF" w:rsidP="0004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045855" w:rsidRPr="00177F9F" w14:paraId="209E6B6E" w14:textId="77777777" w:rsidTr="005B1838">
      <w:tc>
        <w:tcPr>
          <w:tcW w:w="4038" w:type="dxa"/>
          <w:shd w:val="clear" w:color="auto" w:fill="auto"/>
          <w:vAlign w:val="bottom"/>
        </w:tcPr>
        <w:p w14:paraId="5D4D9BF8" w14:textId="230C54D9" w:rsidR="00045855" w:rsidRPr="00177F9F" w:rsidRDefault="00045855" w:rsidP="00045855">
          <w:pPr>
            <w:tabs>
              <w:tab w:val="center" w:pos="4320"/>
              <w:tab w:val="right" w:pos="8640"/>
            </w:tabs>
            <w:rPr>
              <w:sz w:val="20"/>
            </w:rPr>
          </w:pPr>
          <w:r w:rsidRPr="00177F9F">
            <w:rPr>
              <w:b/>
              <w:sz w:val="20"/>
            </w:rPr>
            <w:t>Modifications to Security Instrument (</w:t>
          </w:r>
          <w:r>
            <w:rPr>
              <w:b/>
              <w:sz w:val="20"/>
            </w:rPr>
            <w:t>Sponsor-Dedicated Workforce Housing)</w:t>
          </w:r>
        </w:p>
      </w:tc>
      <w:tc>
        <w:tcPr>
          <w:tcW w:w="2460" w:type="dxa"/>
          <w:shd w:val="clear" w:color="auto" w:fill="auto"/>
          <w:vAlign w:val="bottom"/>
        </w:tcPr>
        <w:p w14:paraId="05656631" w14:textId="4F0C139E" w:rsidR="00045855" w:rsidRPr="00177F9F" w:rsidRDefault="00045855" w:rsidP="00045855">
          <w:pPr>
            <w:tabs>
              <w:tab w:val="center" w:pos="4320"/>
              <w:tab w:val="right" w:pos="8640"/>
            </w:tabs>
            <w:jc w:val="center"/>
            <w:rPr>
              <w:b/>
              <w:sz w:val="20"/>
            </w:rPr>
          </w:pPr>
          <w:r w:rsidRPr="00177F9F">
            <w:rPr>
              <w:b/>
              <w:sz w:val="20"/>
            </w:rPr>
            <w:t xml:space="preserve">Form </w:t>
          </w:r>
          <w:r>
            <w:rPr>
              <w:b/>
              <w:sz w:val="20"/>
            </w:rPr>
            <w:t>63</w:t>
          </w:r>
          <w:r w:rsidR="00CC5AAC">
            <w:rPr>
              <w:b/>
              <w:sz w:val="20"/>
            </w:rPr>
            <w:t>25</w:t>
          </w:r>
        </w:p>
      </w:tc>
      <w:tc>
        <w:tcPr>
          <w:tcW w:w="3192" w:type="dxa"/>
          <w:shd w:val="clear" w:color="auto" w:fill="auto"/>
          <w:vAlign w:val="bottom"/>
        </w:tcPr>
        <w:p w14:paraId="1E0E2B43" w14:textId="77777777" w:rsidR="00045855" w:rsidRPr="00177F9F" w:rsidRDefault="00045855" w:rsidP="00045855">
          <w:pPr>
            <w:tabs>
              <w:tab w:val="center" w:pos="4320"/>
              <w:tab w:val="right" w:pos="8640"/>
            </w:tabs>
            <w:jc w:val="right"/>
            <w:rPr>
              <w:b/>
              <w:sz w:val="20"/>
            </w:rPr>
          </w:pPr>
          <w:r w:rsidRPr="00177F9F">
            <w:rPr>
              <w:b/>
              <w:sz w:val="20"/>
            </w:rPr>
            <w:t xml:space="preserve">Page </w:t>
          </w:r>
          <w:r>
            <w:rPr>
              <w:b/>
              <w:sz w:val="20"/>
            </w:rPr>
            <w:t>[__]-</w:t>
          </w:r>
          <w:r w:rsidRPr="00177F9F">
            <w:rPr>
              <w:b/>
              <w:sz w:val="20"/>
            </w:rPr>
            <w:fldChar w:fldCharType="begin"/>
          </w:r>
          <w:r w:rsidRPr="00177F9F">
            <w:rPr>
              <w:b/>
              <w:sz w:val="20"/>
            </w:rPr>
            <w:instrText xml:space="preserve"> PAGE </w:instrText>
          </w:r>
          <w:r w:rsidRPr="00177F9F">
            <w:rPr>
              <w:b/>
              <w:sz w:val="20"/>
            </w:rPr>
            <w:fldChar w:fldCharType="separate"/>
          </w:r>
          <w:r w:rsidRPr="00177F9F">
            <w:rPr>
              <w:b/>
              <w:sz w:val="20"/>
            </w:rPr>
            <w:t>1</w:t>
          </w:r>
          <w:r w:rsidRPr="00177F9F">
            <w:rPr>
              <w:b/>
              <w:sz w:val="20"/>
            </w:rPr>
            <w:fldChar w:fldCharType="end"/>
          </w:r>
        </w:p>
      </w:tc>
    </w:tr>
    <w:tr w:rsidR="00945A37" w:rsidRPr="00177F9F" w14:paraId="201A3948" w14:textId="77777777" w:rsidTr="00856A5F">
      <w:tc>
        <w:tcPr>
          <w:tcW w:w="4038" w:type="dxa"/>
          <w:shd w:val="clear" w:color="auto" w:fill="auto"/>
          <w:vAlign w:val="bottom"/>
        </w:tcPr>
        <w:p w14:paraId="788C1660" w14:textId="77777777" w:rsidR="00945A37" w:rsidRPr="00177F9F" w:rsidRDefault="00945A37" w:rsidP="00945A37">
          <w:pPr>
            <w:tabs>
              <w:tab w:val="center" w:pos="4320"/>
              <w:tab w:val="right" w:pos="8640"/>
            </w:tabs>
            <w:rPr>
              <w:b/>
              <w:sz w:val="20"/>
            </w:rPr>
          </w:pPr>
          <w:r w:rsidRPr="00177F9F">
            <w:rPr>
              <w:b/>
              <w:sz w:val="20"/>
            </w:rPr>
            <w:t>Fannie Mae</w:t>
          </w:r>
        </w:p>
      </w:tc>
      <w:tc>
        <w:tcPr>
          <w:tcW w:w="2460" w:type="dxa"/>
          <w:vAlign w:val="bottom"/>
        </w:tcPr>
        <w:p w14:paraId="314362A7" w14:textId="783AD6B4" w:rsidR="00945A37" w:rsidRPr="00177F9F" w:rsidRDefault="00945A37" w:rsidP="00945A37">
          <w:pPr>
            <w:tabs>
              <w:tab w:val="center" w:pos="4320"/>
              <w:tab w:val="right" w:pos="8640"/>
            </w:tabs>
            <w:jc w:val="center"/>
            <w:rPr>
              <w:b/>
              <w:sz w:val="20"/>
            </w:rPr>
          </w:pPr>
          <w:r>
            <w:rPr>
              <w:b/>
              <w:sz w:val="20"/>
              <w:szCs w:val="20"/>
            </w:rPr>
            <w:t>11-24</w:t>
          </w:r>
        </w:p>
      </w:tc>
      <w:tc>
        <w:tcPr>
          <w:tcW w:w="3192" w:type="dxa"/>
          <w:vAlign w:val="bottom"/>
        </w:tcPr>
        <w:p w14:paraId="012C6B3A" w14:textId="665684D5" w:rsidR="00945A37" w:rsidRPr="00177F9F" w:rsidRDefault="00945A37" w:rsidP="00945A37">
          <w:pPr>
            <w:tabs>
              <w:tab w:val="center" w:pos="4320"/>
              <w:tab w:val="right" w:pos="8640"/>
            </w:tabs>
            <w:jc w:val="right"/>
            <w:rPr>
              <w:b/>
              <w:sz w:val="20"/>
            </w:rPr>
          </w:pPr>
          <w:r>
            <w:rPr>
              <w:b/>
              <w:sz w:val="20"/>
              <w:szCs w:val="20"/>
            </w:rPr>
            <w:t>© 2024 Fannie Mae</w:t>
          </w:r>
        </w:p>
      </w:tc>
    </w:tr>
  </w:tbl>
  <w:p w14:paraId="4F266ABC" w14:textId="77777777" w:rsidR="00045855" w:rsidRDefault="00045855" w:rsidP="00F70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0F74" w14:textId="038E21D0" w:rsidR="00400372" w:rsidRDefault="00400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A32708" w:rsidRPr="00177F9F" w14:paraId="4F22F374" w14:textId="77777777" w:rsidTr="005B1838">
      <w:tc>
        <w:tcPr>
          <w:tcW w:w="4038" w:type="dxa"/>
          <w:shd w:val="clear" w:color="auto" w:fill="auto"/>
          <w:vAlign w:val="bottom"/>
        </w:tcPr>
        <w:p w14:paraId="493ADC6C" w14:textId="6549A2B1" w:rsidR="00A32708" w:rsidRPr="00177F9F" w:rsidRDefault="00A32708" w:rsidP="00045855">
          <w:pPr>
            <w:tabs>
              <w:tab w:val="center" w:pos="4320"/>
              <w:tab w:val="right" w:pos="8640"/>
            </w:tabs>
            <w:rPr>
              <w:sz w:val="20"/>
            </w:rPr>
          </w:pPr>
          <w:r w:rsidRPr="00177F9F">
            <w:rPr>
              <w:b/>
              <w:sz w:val="20"/>
            </w:rPr>
            <w:t>Modifications to Security Instrument (</w:t>
          </w:r>
          <w:r>
            <w:rPr>
              <w:b/>
              <w:sz w:val="20"/>
            </w:rPr>
            <w:t>Sponsor-Dedicated Workforce Housing)</w:t>
          </w:r>
        </w:p>
      </w:tc>
      <w:tc>
        <w:tcPr>
          <w:tcW w:w="2460" w:type="dxa"/>
          <w:shd w:val="clear" w:color="auto" w:fill="auto"/>
          <w:vAlign w:val="bottom"/>
        </w:tcPr>
        <w:p w14:paraId="72270602" w14:textId="77777777" w:rsidR="00A32708" w:rsidRPr="00177F9F" w:rsidRDefault="00A32708" w:rsidP="00045855">
          <w:pPr>
            <w:tabs>
              <w:tab w:val="center" w:pos="4320"/>
              <w:tab w:val="right" w:pos="8640"/>
            </w:tabs>
            <w:jc w:val="center"/>
            <w:rPr>
              <w:b/>
              <w:sz w:val="20"/>
            </w:rPr>
          </w:pPr>
          <w:r w:rsidRPr="00177F9F">
            <w:rPr>
              <w:b/>
              <w:sz w:val="20"/>
            </w:rPr>
            <w:t xml:space="preserve">Form </w:t>
          </w:r>
          <w:r>
            <w:rPr>
              <w:b/>
              <w:sz w:val="20"/>
            </w:rPr>
            <w:t>6325</w:t>
          </w:r>
        </w:p>
      </w:tc>
      <w:tc>
        <w:tcPr>
          <w:tcW w:w="3192" w:type="dxa"/>
          <w:shd w:val="clear" w:color="auto" w:fill="auto"/>
          <w:vAlign w:val="bottom"/>
        </w:tcPr>
        <w:p w14:paraId="5E1E6559" w14:textId="14F512FC" w:rsidR="00A32708" w:rsidRPr="00177F9F" w:rsidRDefault="00A32708" w:rsidP="00045855">
          <w:pPr>
            <w:tabs>
              <w:tab w:val="center" w:pos="4320"/>
              <w:tab w:val="right" w:pos="8640"/>
            </w:tabs>
            <w:jc w:val="right"/>
            <w:rPr>
              <w:b/>
              <w:sz w:val="20"/>
            </w:rPr>
          </w:pPr>
          <w:r>
            <w:rPr>
              <w:b/>
              <w:sz w:val="20"/>
            </w:rPr>
            <w:t>Sch. 1-</w:t>
          </w:r>
          <w:r w:rsidRPr="00177F9F">
            <w:rPr>
              <w:b/>
              <w:sz w:val="20"/>
            </w:rPr>
            <w:fldChar w:fldCharType="begin"/>
          </w:r>
          <w:r w:rsidRPr="00177F9F">
            <w:rPr>
              <w:b/>
              <w:sz w:val="20"/>
            </w:rPr>
            <w:instrText xml:space="preserve"> PAGE </w:instrText>
          </w:r>
          <w:r w:rsidRPr="00177F9F">
            <w:rPr>
              <w:b/>
              <w:sz w:val="20"/>
            </w:rPr>
            <w:fldChar w:fldCharType="separate"/>
          </w:r>
          <w:r w:rsidRPr="00177F9F">
            <w:rPr>
              <w:b/>
              <w:sz w:val="20"/>
            </w:rPr>
            <w:t>1</w:t>
          </w:r>
          <w:r w:rsidRPr="00177F9F">
            <w:rPr>
              <w:b/>
              <w:sz w:val="20"/>
            </w:rPr>
            <w:fldChar w:fldCharType="end"/>
          </w:r>
        </w:p>
      </w:tc>
    </w:tr>
    <w:tr w:rsidR="00945A37" w:rsidRPr="00177F9F" w14:paraId="71341DA7" w14:textId="77777777" w:rsidTr="00B816BF">
      <w:tc>
        <w:tcPr>
          <w:tcW w:w="4038" w:type="dxa"/>
          <w:shd w:val="clear" w:color="auto" w:fill="auto"/>
          <w:vAlign w:val="bottom"/>
        </w:tcPr>
        <w:p w14:paraId="0AE2871B" w14:textId="77777777" w:rsidR="00945A37" w:rsidRPr="00177F9F" w:rsidRDefault="00945A37" w:rsidP="00945A37">
          <w:pPr>
            <w:tabs>
              <w:tab w:val="center" w:pos="4320"/>
              <w:tab w:val="right" w:pos="8640"/>
            </w:tabs>
            <w:rPr>
              <w:b/>
              <w:sz w:val="20"/>
            </w:rPr>
          </w:pPr>
          <w:r w:rsidRPr="00177F9F">
            <w:rPr>
              <w:b/>
              <w:sz w:val="20"/>
            </w:rPr>
            <w:t>Fannie Mae</w:t>
          </w:r>
        </w:p>
      </w:tc>
      <w:tc>
        <w:tcPr>
          <w:tcW w:w="2460" w:type="dxa"/>
          <w:vAlign w:val="bottom"/>
        </w:tcPr>
        <w:p w14:paraId="2F65C1BE" w14:textId="599E39A8" w:rsidR="00945A37" w:rsidRPr="00177F9F" w:rsidRDefault="00945A37" w:rsidP="00945A37">
          <w:pPr>
            <w:tabs>
              <w:tab w:val="center" w:pos="4320"/>
              <w:tab w:val="right" w:pos="8640"/>
            </w:tabs>
            <w:jc w:val="center"/>
            <w:rPr>
              <w:b/>
              <w:sz w:val="20"/>
            </w:rPr>
          </w:pPr>
          <w:r>
            <w:rPr>
              <w:b/>
              <w:sz w:val="20"/>
              <w:szCs w:val="20"/>
            </w:rPr>
            <w:t>11-24</w:t>
          </w:r>
        </w:p>
      </w:tc>
      <w:tc>
        <w:tcPr>
          <w:tcW w:w="3192" w:type="dxa"/>
          <w:vAlign w:val="bottom"/>
        </w:tcPr>
        <w:p w14:paraId="6DC672EF" w14:textId="517168D6" w:rsidR="00945A37" w:rsidRPr="00177F9F" w:rsidRDefault="00945A37" w:rsidP="00945A37">
          <w:pPr>
            <w:tabs>
              <w:tab w:val="center" w:pos="4320"/>
              <w:tab w:val="right" w:pos="8640"/>
            </w:tabs>
            <w:jc w:val="right"/>
            <w:rPr>
              <w:b/>
              <w:sz w:val="20"/>
            </w:rPr>
          </w:pPr>
          <w:r>
            <w:rPr>
              <w:b/>
              <w:sz w:val="20"/>
              <w:szCs w:val="20"/>
            </w:rPr>
            <w:t>© 2024 Fannie Mae</w:t>
          </w:r>
        </w:p>
      </w:tc>
    </w:tr>
  </w:tbl>
  <w:p w14:paraId="77627FFC" w14:textId="77777777" w:rsidR="00A32708" w:rsidRDefault="00A32708" w:rsidP="000458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FDA8" w14:textId="6FABFC1B" w:rsidR="00400372" w:rsidRDefault="0040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5394" w14:textId="77777777" w:rsidR="00F571EF" w:rsidRDefault="00F571EF" w:rsidP="00045855">
      <w:r>
        <w:separator/>
      </w:r>
    </w:p>
  </w:footnote>
  <w:footnote w:type="continuationSeparator" w:id="0">
    <w:p w14:paraId="38A7CD5D" w14:textId="77777777" w:rsidR="00F571EF" w:rsidRDefault="00F571EF" w:rsidP="00045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701399"/>
    <w:multiLevelType w:val="multilevel"/>
    <w:tmpl w:val="F4A852B8"/>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Bold" w:hAnsi="Times New Roman Bold" w:hint="default"/>
        <w:b/>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144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7" w15:restartNumberingAfterBreak="0">
    <w:nsid w:val="225C4BE4"/>
    <w:multiLevelType w:val="hybridMultilevel"/>
    <w:tmpl w:val="ABE01C88"/>
    <w:lvl w:ilvl="0" w:tplc="FFFFFFFF">
      <w:start w:val="1"/>
      <w:numFmt w:val="decimal"/>
      <w:lvlText w:val="(%1)"/>
      <w:lvlJc w:val="left"/>
      <w:pPr>
        <w:ind w:left="2880" w:hanging="360"/>
      </w:pPr>
      <w:rPr>
        <w:rFonts w:hint="default"/>
      </w:rPr>
    </w:lvl>
    <w:lvl w:ilvl="1" w:tplc="24FE68B6">
      <w:start w:val="1"/>
      <w:numFmt w:val="upperLetter"/>
      <w:lvlText w:val="(%2)"/>
      <w:lvlJc w:val="left"/>
      <w:pPr>
        <w:ind w:left="3600" w:hanging="360"/>
      </w:pPr>
      <w:rPr>
        <w:rFonts w:hint="default"/>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 w15:restartNumberingAfterBreak="0">
    <w:nsid w:val="28711F83"/>
    <w:multiLevelType w:val="multilevel"/>
    <w:tmpl w:val="3BD60356"/>
    <w:numStyleLink w:val="Outline2"/>
  </w:abstractNum>
  <w:abstractNum w:abstractNumId="9" w15:restartNumberingAfterBreak="0">
    <w:nsid w:val="3D5815F7"/>
    <w:multiLevelType w:val="hybridMultilevel"/>
    <w:tmpl w:val="D0CC9C30"/>
    <w:lvl w:ilvl="0" w:tplc="E2B62514">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E53791"/>
    <w:multiLevelType w:val="multilevel"/>
    <w:tmpl w:val="807E0A60"/>
    <w:numStyleLink w:val="Legal"/>
  </w:abstractNum>
  <w:abstractNum w:abstractNumId="13" w15:restartNumberingAfterBreak="0">
    <w:nsid w:val="764C1611"/>
    <w:multiLevelType w:val="multilevel"/>
    <w:tmpl w:val="3BD60356"/>
    <w:numStyleLink w:val="Outline2"/>
  </w:abstractNum>
  <w:abstractNum w:abstractNumId="14" w15:restartNumberingAfterBreak="0">
    <w:nsid w:val="7812246A"/>
    <w:multiLevelType w:val="hybridMultilevel"/>
    <w:tmpl w:val="342E4A86"/>
    <w:lvl w:ilvl="0" w:tplc="25D494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C1C090D"/>
    <w:multiLevelType w:val="multilevel"/>
    <w:tmpl w:val="3BD60356"/>
    <w:numStyleLink w:val="Outline2"/>
  </w:abstractNum>
  <w:num w:numId="1" w16cid:durableId="1831289988">
    <w:abstractNumId w:val="10"/>
  </w:num>
  <w:num w:numId="2" w16cid:durableId="249852267">
    <w:abstractNumId w:val="2"/>
  </w:num>
  <w:num w:numId="3" w16cid:durableId="154613477">
    <w:abstractNumId w:val="1"/>
  </w:num>
  <w:num w:numId="4" w16cid:durableId="1058700733">
    <w:abstractNumId w:val="0"/>
  </w:num>
  <w:num w:numId="5" w16cid:durableId="1961372518">
    <w:abstractNumId w:val="11"/>
  </w:num>
  <w:num w:numId="6" w16cid:durableId="654645869">
    <w:abstractNumId w:val="11"/>
  </w:num>
  <w:num w:numId="7" w16cid:durableId="950429662">
    <w:abstractNumId w:val="11"/>
  </w:num>
  <w:num w:numId="8" w16cid:durableId="1486360678">
    <w:abstractNumId w:val="11"/>
  </w:num>
  <w:num w:numId="9" w16cid:durableId="1262107422">
    <w:abstractNumId w:val="3"/>
  </w:num>
  <w:num w:numId="10" w16cid:durableId="242223091">
    <w:abstractNumId w:val="3"/>
  </w:num>
  <w:num w:numId="11" w16cid:durableId="59138942">
    <w:abstractNumId w:val="3"/>
  </w:num>
  <w:num w:numId="12" w16cid:durableId="544373372">
    <w:abstractNumId w:val="3"/>
  </w:num>
  <w:num w:numId="13" w16cid:durableId="1341543186">
    <w:abstractNumId w:val="3"/>
  </w:num>
  <w:num w:numId="14" w16cid:durableId="361129511">
    <w:abstractNumId w:val="12"/>
  </w:num>
  <w:num w:numId="15" w16cid:durableId="379671595">
    <w:abstractNumId w:val="12"/>
  </w:num>
  <w:num w:numId="16" w16cid:durableId="1751656282">
    <w:abstractNumId w:val="12"/>
  </w:num>
  <w:num w:numId="17" w16cid:durableId="626744157">
    <w:abstractNumId w:val="12"/>
  </w:num>
  <w:num w:numId="18" w16cid:durableId="462119754">
    <w:abstractNumId w:val="12"/>
  </w:num>
  <w:num w:numId="19" w16cid:durableId="1054430429">
    <w:abstractNumId w:val="11"/>
  </w:num>
  <w:num w:numId="20" w16cid:durableId="108159519">
    <w:abstractNumId w:val="11"/>
  </w:num>
  <w:num w:numId="21" w16cid:durableId="1508862744">
    <w:abstractNumId w:val="11"/>
  </w:num>
  <w:num w:numId="22" w16cid:durableId="1319309953">
    <w:abstractNumId w:val="11"/>
  </w:num>
  <w:num w:numId="23" w16cid:durableId="1862861089">
    <w:abstractNumId w:val="3"/>
  </w:num>
  <w:num w:numId="24" w16cid:durableId="1540438935">
    <w:abstractNumId w:val="3"/>
  </w:num>
  <w:num w:numId="25" w16cid:durableId="1897085436">
    <w:abstractNumId w:val="3"/>
  </w:num>
  <w:num w:numId="26" w16cid:durableId="2014841944">
    <w:abstractNumId w:val="3"/>
  </w:num>
  <w:num w:numId="27" w16cid:durableId="1074931838">
    <w:abstractNumId w:val="3"/>
  </w:num>
  <w:num w:numId="28" w16cid:durableId="889926201">
    <w:abstractNumId w:val="5"/>
  </w:num>
  <w:num w:numId="29" w16cid:durableId="2111469382">
    <w:abstractNumId w:val="5"/>
  </w:num>
  <w:num w:numId="30" w16cid:durableId="1109348927">
    <w:abstractNumId w:val="5"/>
  </w:num>
  <w:num w:numId="31" w16cid:durableId="47536783">
    <w:abstractNumId w:val="15"/>
  </w:num>
  <w:num w:numId="32" w16cid:durableId="1665355861">
    <w:abstractNumId w:val="13"/>
  </w:num>
  <w:num w:numId="33" w16cid:durableId="1368024235">
    <w:abstractNumId w:val="5"/>
  </w:num>
  <w:num w:numId="34" w16cid:durableId="1144390843">
    <w:abstractNumId w:val="15"/>
  </w:num>
  <w:num w:numId="35" w16cid:durableId="2112703426">
    <w:abstractNumId w:val="15"/>
  </w:num>
  <w:num w:numId="36" w16cid:durableId="1400401984">
    <w:abstractNumId w:val="15"/>
  </w:num>
  <w:num w:numId="37" w16cid:durableId="1907301591">
    <w:abstractNumId w:val="15"/>
  </w:num>
  <w:num w:numId="38" w16cid:durableId="220143383">
    <w:abstractNumId w:val="2"/>
  </w:num>
  <w:num w:numId="39" w16cid:durableId="1980645374">
    <w:abstractNumId w:val="1"/>
  </w:num>
  <w:num w:numId="40" w16cid:durableId="1195000237">
    <w:abstractNumId w:val="0"/>
  </w:num>
  <w:num w:numId="41" w16cid:durableId="1585410145">
    <w:abstractNumId w:val="4"/>
  </w:num>
  <w:num w:numId="42" w16cid:durableId="83188936">
    <w:abstractNumId w:val="8"/>
  </w:num>
  <w:num w:numId="43" w16cid:durableId="1404915955">
    <w:abstractNumId w:val="6"/>
  </w:num>
  <w:num w:numId="44" w16cid:durableId="2099213348">
    <w:abstractNumId w:val="9"/>
  </w:num>
  <w:num w:numId="45" w16cid:durableId="975334513">
    <w:abstractNumId w:val="14"/>
  </w:num>
  <w:num w:numId="46" w16cid:durableId="596597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46"/>
    <w:rsid w:val="00006D3B"/>
    <w:rsid w:val="00026AE1"/>
    <w:rsid w:val="00045855"/>
    <w:rsid w:val="000C3480"/>
    <w:rsid w:val="000D2A7E"/>
    <w:rsid w:val="000F58DE"/>
    <w:rsid w:val="001759BA"/>
    <w:rsid w:val="00191DA3"/>
    <w:rsid w:val="00207366"/>
    <w:rsid w:val="0022144C"/>
    <w:rsid w:val="00245A4C"/>
    <w:rsid w:val="00277216"/>
    <w:rsid w:val="00300AB3"/>
    <w:rsid w:val="00303667"/>
    <w:rsid w:val="003045F4"/>
    <w:rsid w:val="0038187C"/>
    <w:rsid w:val="0039751E"/>
    <w:rsid w:val="003A51CC"/>
    <w:rsid w:val="003C3B6F"/>
    <w:rsid w:val="003D39A2"/>
    <w:rsid w:val="003E77E9"/>
    <w:rsid w:val="00400372"/>
    <w:rsid w:val="00433FB9"/>
    <w:rsid w:val="004774C0"/>
    <w:rsid w:val="004E2A5D"/>
    <w:rsid w:val="005277CA"/>
    <w:rsid w:val="0058385C"/>
    <w:rsid w:val="005878DB"/>
    <w:rsid w:val="005921F9"/>
    <w:rsid w:val="005A2FDE"/>
    <w:rsid w:val="005B243A"/>
    <w:rsid w:val="005B3950"/>
    <w:rsid w:val="005B71D4"/>
    <w:rsid w:val="005F13D3"/>
    <w:rsid w:val="005F7EAB"/>
    <w:rsid w:val="0062493C"/>
    <w:rsid w:val="006A5721"/>
    <w:rsid w:val="0070321B"/>
    <w:rsid w:val="007032AD"/>
    <w:rsid w:val="007A546E"/>
    <w:rsid w:val="007C3423"/>
    <w:rsid w:val="00833A8B"/>
    <w:rsid w:val="008439C1"/>
    <w:rsid w:val="008452AE"/>
    <w:rsid w:val="00876942"/>
    <w:rsid w:val="00945A37"/>
    <w:rsid w:val="009B189F"/>
    <w:rsid w:val="009F5E28"/>
    <w:rsid w:val="00A32708"/>
    <w:rsid w:val="00AB72D3"/>
    <w:rsid w:val="00AC42DC"/>
    <w:rsid w:val="00AD201B"/>
    <w:rsid w:val="00B22CC4"/>
    <w:rsid w:val="00B34441"/>
    <w:rsid w:val="00B41E08"/>
    <w:rsid w:val="00B51A5B"/>
    <w:rsid w:val="00CC5AAC"/>
    <w:rsid w:val="00D3412F"/>
    <w:rsid w:val="00DA7560"/>
    <w:rsid w:val="00DB2C8D"/>
    <w:rsid w:val="00DC5D9B"/>
    <w:rsid w:val="00E20062"/>
    <w:rsid w:val="00E853CF"/>
    <w:rsid w:val="00ED2F67"/>
    <w:rsid w:val="00ED6646"/>
    <w:rsid w:val="00EE0A16"/>
    <w:rsid w:val="00F17EB5"/>
    <w:rsid w:val="00F27DA2"/>
    <w:rsid w:val="00F571EF"/>
    <w:rsid w:val="00F70952"/>
    <w:rsid w:val="00F77EFF"/>
    <w:rsid w:val="00F92F30"/>
    <w:rsid w:val="00FC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D550"/>
  <w15:chartTrackingRefBased/>
  <w15:docId w15:val="{71367060-6470-4AD0-8E0E-6147C9A3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3C"/>
    <w:pPr>
      <w:spacing w:after="0"/>
    </w:pPr>
    <w:rPr>
      <w:rFonts w:eastAsia="Times New Roman" w:cs="Times New Roman"/>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2"/>
    <w:qFormat/>
    <w:rsid w:val="009F5E28"/>
    <w:pPr>
      <w:jc w:val="center"/>
      <w:outlineLvl w:val="0"/>
    </w:pPr>
    <w:rPr>
      <w:b/>
      <w:bCs/>
      <w:caps/>
      <w:kern w:val="28"/>
      <w:szCs w:val="32"/>
      <w:u w:val="single"/>
    </w:rPr>
  </w:style>
  <w:style w:type="character" w:customStyle="1" w:styleId="TitleChar">
    <w:name w:val="Title Char"/>
    <w:link w:val="Title"/>
    <w:uiPriority w:val="2"/>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ListParagraph">
    <w:name w:val="List Paragraph"/>
    <w:basedOn w:val="Normal"/>
    <w:uiPriority w:val="34"/>
    <w:qFormat/>
    <w:locked/>
    <w:rsid w:val="00045855"/>
    <w:pPr>
      <w:ind w:left="720"/>
      <w:contextualSpacing/>
    </w:pPr>
  </w:style>
  <w:style w:type="paragraph" w:styleId="Header">
    <w:name w:val="header"/>
    <w:basedOn w:val="Normal"/>
    <w:link w:val="HeaderChar"/>
    <w:uiPriority w:val="99"/>
    <w:unhideWhenUsed/>
    <w:rsid w:val="00045855"/>
    <w:pPr>
      <w:tabs>
        <w:tab w:val="center" w:pos="4680"/>
        <w:tab w:val="right" w:pos="9360"/>
      </w:tabs>
    </w:pPr>
  </w:style>
  <w:style w:type="character" w:customStyle="1" w:styleId="HeaderChar">
    <w:name w:val="Header Char"/>
    <w:basedOn w:val="DefaultParagraphFont"/>
    <w:link w:val="Header"/>
    <w:uiPriority w:val="99"/>
    <w:rsid w:val="00045855"/>
    <w:rPr>
      <w:rFonts w:eastAsia="Times New Roman" w:cs="Times New Roman"/>
    </w:rPr>
  </w:style>
  <w:style w:type="paragraph" w:styleId="Footer">
    <w:name w:val="footer"/>
    <w:basedOn w:val="Normal"/>
    <w:link w:val="FooterChar"/>
    <w:uiPriority w:val="99"/>
    <w:unhideWhenUsed/>
    <w:rsid w:val="00045855"/>
    <w:pPr>
      <w:tabs>
        <w:tab w:val="center" w:pos="4680"/>
        <w:tab w:val="right" w:pos="9360"/>
      </w:tabs>
    </w:pPr>
  </w:style>
  <w:style w:type="character" w:customStyle="1" w:styleId="FooterChar">
    <w:name w:val="Footer Char"/>
    <w:basedOn w:val="DefaultParagraphFont"/>
    <w:link w:val="Footer"/>
    <w:uiPriority w:val="99"/>
    <w:rsid w:val="00045855"/>
    <w:rPr>
      <w:rFonts w:eastAsia="Times New Roman" w:cs="Times New Roman"/>
    </w:rPr>
  </w:style>
  <w:style w:type="paragraph" w:customStyle="1" w:styleId="TabbedL2">
    <w:name w:val="Tabbed_L2"/>
    <w:basedOn w:val="Normal"/>
    <w:next w:val="BodyText"/>
    <w:link w:val="TabbedL2Char"/>
    <w:rsid w:val="009B189F"/>
    <w:pPr>
      <w:numPr>
        <w:ilvl w:val="1"/>
      </w:numPr>
      <w:spacing w:after="240"/>
      <w:outlineLvl w:val="1"/>
    </w:pPr>
    <w:rPr>
      <w:szCs w:val="20"/>
    </w:rPr>
  </w:style>
  <w:style w:type="character" w:customStyle="1" w:styleId="TabbedL2Char">
    <w:name w:val="Tabbed_L2 Char"/>
    <w:basedOn w:val="DefaultParagraphFont"/>
    <w:link w:val="TabbedL2"/>
    <w:rsid w:val="009B189F"/>
    <w:rPr>
      <w:rFonts w:eastAsia="Times New Roman" w:cs="Times New Roman"/>
      <w:szCs w:val="20"/>
    </w:rPr>
  </w:style>
  <w:style w:type="table" w:styleId="TableGrid">
    <w:name w:val="Table Grid"/>
    <w:basedOn w:val="TableNormal"/>
    <w:uiPriority w:val="39"/>
    <w:rsid w:val="008439C1"/>
    <w:pPr>
      <w:overflowPunct w:val="0"/>
      <w:autoSpaceDE w:val="0"/>
      <w:autoSpaceDN w:val="0"/>
      <w:adjustRightInd w:val="0"/>
      <w:spacing w:after="0"/>
      <w:jc w:val="both"/>
      <w:textAlignment w:val="baseline"/>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3BE9-A02A-4874-B798-43C23AC9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5173</Characters>
  <Application>Microsoft Office Word</Application>
  <DocSecurity>0</DocSecurity>
  <Lines>184</Lines>
  <Paragraphs>119</Paragraphs>
  <ScaleCrop>false</ScaleCrop>
  <HeadingPairs>
    <vt:vector size="2" baseType="variant">
      <vt:variant>
        <vt:lpstr>Title</vt:lpstr>
      </vt:variant>
      <vt:variant>
        <vt:i4>1</vt:i4>
      </vt:variant>
    </vt:vector>
  </HeadingPairs>
  <TitlesOfParts>
    <vt:vector size="1" baseType="lpstr">
      <vt:lpstr>Form 6325</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6325</dc:title>
  <dc:subject>Modifications to Security Instrument (Sponsor-Dedicated Workforce Housing)</dc:subject>
  <dc:creator>Fannie Mae</dc:creator>
  <cp:keywords/>
  <dc:description/>
  <cp:lastModifiedBy>Riggs, Suzanne M.</cp:lastModifiedBy>
  <cp:revision>3</cp:revision>
  <dcterms:created xsi:type="dcterms:W3CDTF">2024-11-04T15:03:00Z</dcterms:created>
  <dcterms:modified xsi:type="dcterms:W3CDTF">2024-11-04T15:04:00Z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2023-10-02T20:43:46Z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fd4e8ded-3ac9-4528-a9ee-6685f56e3f21</vt:lpwstr>
  </property>
  <property fmtid="{D5CDD505-2E9C-101B-9397-08002B2CF9AE}" pid="8" name="MSIP_Label_32e574c4-8805-42e8-821a-2fa1606dfe1a_ContentBits">
    <vt:lpwstr>0</vt:lpwstr>
  </property>
  <property fmtid="{D5CDD505-2E9C-101B-9397-08002B2CF9AE}" pid="9" name="iManageFooter">
    <vt:lpwstr>63343222-v3</vt:lpwstr>
  </property>
</Properties>
</file>