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A99E0" w14:textId="77777777" w:rsidR="00774865" w:rsidRPr="00E06C65" w:rsidRDefault="00774865" w:rsidP="00A27A45">
      <w:pPr>
        <w:widowControl/>
        <w:suppressAutoHyphens/>
        <w:autoSpaceDE/>
        <w:autoSpaceDN/>
        <w:adjustRightInd/>
        <w:spacing w:after="240"/>
        <w:jc w:val="center"/>
        <w:rPr>
          <w:b/>
        </w:rPr>
      </w:pPr>
      <w:bookmarkStart w:id="0" w:name="YiFSelection"/>
      <w:bookmarkStart w:id="1" w:name="_DV_C2"/>
      <w:bookmarkStart w:id="2" w:name="_Hlk69207292"/>
      <w:bookmarkEnd w:id="0"/>
      <w:r w:rsidRPr="00E06C65">
        <w:rPr>
          <w:b/>
        </w:rPr>
        <w:t>EXHIBIT [___]</w:t>
      </w:r>
      <w:bookmarkEnd w:id="1"/>
    </w:p>
    <w:p w14:paraId="48D3CC1E" w14:textId="77777777" w:rsidR="007272BE" w:rsidRPr="00B86740" w:rsidRDefault="007272BE" w:rsidP="00A27A45">
      <w:pPr>
        <w:widowControl/>
        <w:tabs>
          <w:tab w:val="center" w:pos="4680"/>
        </w:tabs>
        <w:suppressAutoHyphens/>
        <w:jc w:val="center"/>
      </w:pPr>
      <w:bookmarkStart w:id="3" w:name="_DV_M0"/>
      <w:bookmarkStart w:id="4" w:name="_Hlk48639930"/>
      <w:bookmarkStart w:id="5" w:name="_Hlk27130834"/>
      <w:bookmarkEnd w:id="2"/>
      <w:bookmarkEnd w:id="3"/>
      <w:r w:rsidRPr="00B86740">
        <w:rPr>
          <w:b/>
        </w:rPr>
        <w:t>MODIFICATIONS TO SECURITY INSTRUMENT</w:t>
      </w:r>
    </w:p>
    <w:p w14:paraId="004A6EE6" w14:textId="1C4B8D40" w:rsidR="007272BE" w:rsidRPr="00B86740" w:rsidRDefault="007272BE" w:rsidP="00A27A45">
      <w:pPr>
        <w:widowControl/>
        <w:tabs>
          <w:tab w:val="center" w:pos="4680"/>
        </w:tabs>
        <w:suppressAutoHyphens/>
        <w:spacing w:after="360"/>
        <w:jc w:val="center"/>
        <w:rPr>
          <w:b/>
        </w:rPr>
      </w:pPr>
      <w:r w:rsidRPr="00B86740">
        <w:rPr>
          <w:b/>
        </w:rPr>
        <w:t>(</w:t>
      </w:r>
      <w:r w:rsidR="005029CF">
        <w:rPr>
          <w:b/>
        </w:rPr>
        <w:t>Co-Borrower</w:t>
      </w:r>
      <w:r w:rsidR="00034098">
        <w:rPr>
          <w:b/>
        </w:rPr>
        <w:t>s</w:t>
      </w:r>
      <w:r w:rsidRPr="00B86740">
        <w:rPr>
          <w:b/>
        </w:rPr>
        <w:t>)</w:t>
      </w:r>
    </w:p>
    <w:p w14:paraId="428D126B" w14:textId="77777777" w:rsidR="00774865" w:rsidRPr="00B86740" w:rsidRDefault="00774865" w:rsidP="00A27A45">
      <w:pPr>
        <w:widowControl/>
        <w:autoSpaceDE/>
        <w:autoSpaceDN/>
        <w:adjustRightInd/>
        <w:spacing w:after="240"/>
        <w:ind w:firstLine="720"/>
        <w:rPr>
          <w:szCs w:val="20"/>
        </w:rPr>
      </w:pPr>
      <w:r w:rsidRPr="00B86740">
        <w:rPr>
          <w:szCs w:val="20"/>
        </w:rPr>
        <w:t>The foregoing Security Instrument is hereby modified as follows:</w:t>
      </w:r>
    </w:p>
    <w:p w14:paraId="39087ACD" w14:textId="77777777" w:rsidR="00774865" w:rsidRPr="00B86740" w:rsidRDefault="00774865" w:rsidP="00A27A45">
      <w:pPr>
        <w:widowControl/>
        <w:numPr>
          <w:ilvl w:val="0"/>
          <w:numId w:val="43"/>
        </w:numPr>
        <w:tabs>
          <w:tab w:val="left" w:pos="-720"/>
        </w:tabs>
        <w:suppressAutoHyphens/>
        <w:autoSpaceDE/>
        <w:autoSpaceDN/>
        <w:adjustRightInd/>
        <w:spacing w:after="240"/>
        <w:rPr>
          <w:szCs w:val="20"/>
        </w:rPr>
      </w:pPr>
      <w:r w:rsidRPr="00B86740">
        <w:rPr>
          <w:szCs w:val="20"/>
        </w:rPr>
        <w:t>Capitalized terms used and not specifically defined herein have the meanings given to such terms in the Security Instrument.</w:t>
      </w:r>
    </w:p>
    <w:p w14:paraId="1B8AAA4C" w14:textId="77777777" w:rsidR="00774865" w:rsidRPr="00B86740" w:rsidRDefault="00774865" w:rsidP="00A27A45">
      <w:pPr>
        <w:widowControl/>
        <w:numPr>
          <w:ilvl w:val="0"/>
          <w:numId w:val="43"/>
        </w:numPr>
        <w:suppressAutoHyphens/>
        <w:spacing w:after="240"/>
      </w:pPr>
      <w:r w:rsidRPr="00B86740">
        <w:t>The following section is hereby added to the Security Instrument as Section [__] (Remedies Against Other Collateral):</w:t>
      </w:r>
    </w:p>
    <w:p w14:paraId="31B3E23A" w14:textId="77777777" w:rsidR="00774865" w:rsidRPr="00B86740" w:rsidRDefault="00774865" w:rsidP="00A27A45">
      <w:pPr>
        <w:keepNext/>
        <w:widowControl/>
        <w:spacing w:after="240"/>
        <w:ind w:firstLine="720"/>
        <w:rPr>
          <w:b/>
        </w:rPr>
      </w:pPr>
      <w:r w:rsidRPr="00B86740">
        <w:rPr>
          <w:b/>
        </w:rPr>
        <w:t>[__].</w:t>
      </w:r>
      <w:r w:rsidRPr="00B86740">
        <w:rPr>
          <w:b/>
        </w:rPr>
        <w:tab/>
        <w:t>Remedies Against Other Collateral.</w:t>
      </w:r>
    </w:p>
    <w:p w14:paraId="563CA169" w14:textId="2827F639" w:rsidR="00BA2487" w:rsidRDefault="00774865" w:rsidP="00BF33A9">
      <w:pPr>
        <w:widowControl/>
        <w:suppressAutoHyphens/>
        <w:spacing w:after="240"/>
        <w:ind w:left="720" w:right="720" w:firstLine="720"/>
      </w:pPr>
      <w:r w:rsidRPr="00B86740">
        <w:t xml:space="preserve">Borrower hereby acknowledges that the Indebtedness is also secured by liens on collateral </w:t>
      </w:r>
      <w:r w:rsidR="00F624D6">
        <w:t>not encumbered by this Security Instrument</w:t>
      </w:r>
      <w:r w:rsidRPr="00B86740">
        <w:t xml:space="preserve">. Borrower agrees and consents that upon </w:t>
      </w:r>
      <w:r w:rsidRPr="00B86740">
        <w:rPr>
          <w:color w:val="000000"/>
        </w:rPr>
        <w:t xml:space="preserve">the occurrence </w:t>
      </w:r>
      <w:r w:rsidRPr="00B86740">
        <w:t>and during the continuance</w:t>
      </w:r>
      <w:r w:rsidRPr="00B86740">
        <w:rPr>
          <w:color w:val="000000"/>
        </w:rPr>
        <w:t xml:space="preserve"> of</w:t>
      </w:r>
      <w:r w:rsidRPr="00B86740">
        <w:t xml:space="preserve"> an Event of Default, Lender shall have the right, in its sole and absolute discretion, to exercise any and all rights and remedies in and under any of the Loan Documents, including the right to proceed, at the same or at different times, to foreclose any or all liens against such collateral (or sell such collateral under power of sale) in accordance with the terms of this Security Instrument or any other Security Instrument, by any proceedings appropriate</w:t>
      </w:r>
      <w:r w:rsidR="002B7144">
        <w:t>.</w:t>
      </w:r>
      <w:r w:rsidRPr="00B86740">
        <w:t xml:space="preserve">  No notice, except as may be expressly required by the Loan Documents or by applicable law, shall be required to be given to Borrower in connection with (a) </w:t>
      </w:r>
      <w:r w:rsidRPr="00B86740">
        <w:rPr>
          <w:color w:val="000000"/>
        </w:rPr>
        <w:t>the occurrence of such Event of Default,</w:t>
      </w:r>
      <w:r w:rsidRPr="00B86740">
        <w:t xml:space="preserve"> or (b) Lender</w:t>
      </w:r>
      <w:r w:rsidRPr="00B86740">
        <w:rPr>
          <w:color w:val="000000"/>
        </w:rPr>
        <w:t>’</w:t>
      </w:r>
      <w:r w:rsidRPr="00B86740">
        <w:t xml:space="preserve">s exercise of any and all of its rights or remedies after </w:t>
      </w:r>
      <w:r w:rsidRPr="00B86740">
        <w:rPr>
          <w:color w:val="000000"/>
        </w:rPr>
        <w:t xml:space="preserve">the occurrence of such </w:t>
      </w:r>
      <w:r w:rsidRPr="00B86740">
        <w:t>Event of Default.</w:t>
      </w:r>
      <w:bookmarkEnd w:id="4"/>
      <w:bookmarkEnd w:id="5"/>
    </w:p>
    <w:p w14:paraId="7834DA75" w14:textId="3018F2B7" w:rsidR="00034098" w:rsidRPr="00034098" w:rsidRDefault="00034098" w:rsidP="00034098">
      <w:pPr>
        <w:widowControl/>
        <w:suppressAutoHyphens/>
        <w:spacing w:after="240"/>
        <w:ind w:right="720" w:firstLine="720"/>
        <w:jc w:val="center"/>
        <w:rPr>
          <w:b/>
          <w:bCs/>
        </w:rPr>
      </w:pPr>
      <w:r>
        <w:rPr>
          <w:b/>
          <w:bCs/>
        </w:rPr>
        <w:t>[Remainder of Page Intentionally Blank]</w:t>
      </w:r>
    </w:p>
    <w:sectPr w:rsidR="00034098" w:rsidRPr="00034098" w:rsidSect="004F7738">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47970" w14:textId="77777777" w:rsidR="005D4C0C" w:rsidRDefault="005D4C0C" w:rsidP="00F7480B">
      <w:r>
        <w:separator/>
      </w:r>
    </w:p>
  </w:endnote>
  <w:endnote w:type="continuationSeparator" w:id="0">
    <w:p w14:paraId="6FB66F6A" w14:textId="77777777" w:rsidR="005D4C0C" w:rsidRDefault="005D4C0C" w:rsidP="00F7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58AE" w14:textId="77777777" w:rsidR="006239A0" w:rsidRPr="00711B25" w:rsidRDefault="00711B25" w:rsidP="00711B25">
    <w:pPr>
      <w:pStyle w:val="Footer"/>
      <w:jc w:val="left"/>
    </w:pPr>
    <w:r>
      <w:rPr>
        <w:sz w:val="16"/>
      </w:rPr>
      <w:fldChar w:fldCharType="begin"/>
    </w:r>
    <w:r>
      <w:rPr>
        <w:sz w:val="16"/>
      </w:rPr>
      <w:instrText xml:space="preserve"> DOCPROPERTY  YCFooter \* MERGEFORMAT </w:instrText>
    </w:r>
    <w:r>
      <w:rPr>
        <w:sz w:val="16"/>
      </w:rPr>
      <w:fldChar w:fldCharType="separate"/>
    </w:r>
    <w:r w:rsidR="00BC1361">
      <w:rPr>
        <w:sz w:val="16"/>
      </w:rPr>
      <w:t>18605618-v6</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90" w:type="dxa"/>
      <w:tblInd w:w="-90" w:type="dxa"/>
      <w:tblLook w:val="01E0" w:firstRow="1" w:lastRow="1" w:firstColumn="1" w:lastColumn="1" w:noHBand="0" w:noVBand="0"/>
    </w:tblPr>
    <w:tblGrid>
      <w:gridCol w:w="4230"/>
      <w:gridCol w:w="2268"/>
      <w:gridCol w:w="3192"/>
    </w:tblGrid>
    <w:tr w:rsidR="007C7AA3" w14:paraId="11880E54" w14:textId="77777777" w:rsidTr="00E56BAA">
      <w:trPr>
        <w:trHeight w:val="297"/>
      </w:trPr>
      <w:tc>
        <w:tcPr>
          <w:tcW w:w="4230" w:type="dxa"/>
          <w:vAlign w:val="bottom"/>
          <w:hideMark/>
        </w:tcPr>
        <w:p w14:paraId="30E529F1" w14:textId="77777777" w:rsidR="007C7AA3" w:rsidRDefault="007C7AA3" w:rsidP="007C7AA3">
          <w:pPr>
            <w:pStyle w:val="Footer"/>
            <w:spacing w:line="256" w:lineRule="auto"/>
            <w:jc w:val="left"/>
            <w:rPr>
              <w:b/>
              <w:sz w:val="20"/>
            </w:rPr>
          </w:pPr>
          <w:r>
            <w:rPr>
              <w:b/>
              <w:sz w:val="20"/>
            </w:rPr>
            <w:t>Modifications to Security Instrument (Co-Borrowers)</w:t>
          </w:r>
        </w:p>
      </w:tc>
      <w:tc>
        <w:tcPr>
          <w:tcW w:w="2268" w:type="dxa"/>
          <w:vAlign w:val="bottom"/>
          <w:hideMark/>
        </w:tcPr>
        <w:p w14:paraId="6286D4E5" w14:textId="77777777" w:rsidR="007C7AA3" w:rsidRDefault="007C7AA3" w:rsidP="007C7AA3">
          <w:pPr>
            <w:pStyle w:val="Footer"/>
            <w:spacing w:line="256" w:lineRule="auto"/>
            <w:jc w:val="center"/>
            <w:rPr>
              <w:b/>
              <w:sz w:val="20"/>
            </w:rPr>
          </w:pPr>
          <w:r>
            <w:rPr>
              <w:b/>
              <w:sz w:val="20"/>
            </w:rPr>
            <w:t>Form 6322</w:t>
          </w:r>
        </w:p>
      </w:tc>
      <w:tc>
        <w:tcPr>
          <w:tcW w:w="3192" w:type="dxa"/>
          <w:vAlign w:val="bottom"/>
          <w:hideMark/>
        </w:tcPr>
        <w:p w14:paraId="69A246EE" w14:textId="77777777" w:rsidR="007C7AA3" w:rsidRDefault="007C7AA3" w:rsidP="007C7AA3">
          <w:pPr>
            <w:pStyle w:val="Footer"/>
            <w:spacing w:line="256" w:lineRule="auto"/>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2</w:t>
          </w:r>
          <w:r>
            <w:rPr>
              <w:rStyle w:val="PageNumber"/>
              <w:b/>
              <w:sz w:val="20"/>
            </w:rPr>
            <w:fldChar w:fldCharType="end"/>
          </w:r>
        </w:p>
      </w:tc>
    </w:tr>
    <w:tr w:rsidR="007C7AA3" w14:paraId="79E8BE90" w14:textId="77777777" w:rsidTr="00E56BAA">
      <w:tc>
        <w:tcPr>
          <w:tcW w:w="4230" w:type="dxa"/>
          <w:vAlign w:val="bottom"/>
          <w:hideMark/>
        </w:tcPr>
        <w:p w14:paraId="2B9A5547" w14:textId="77777777" w:rsidR="007C7AA3" w:rsidRDefault="007C7AA3" w:rsidP="007C7AA3">
          <w:pPr>
            <w:pStyle w:val="Footer"/>
            <w:spacing w:line="256" w:lineRule="auto"/>
            <w:rPr>
              <w:b/>
              <w:sz w:val="20"/>
            </w:rPr>
          </w:pPr>
          <w:r>
            <w:rPr>
              <w:b/>
              <w:sz w:val="20"/>
            </w:rPr>
            <w:t>Fannie Mae</w:t>
          </w:r>
        </w:p>
      </w:tc>
      <w:tc>
        <w:tcPr>
          <w:tcW w:w="2268" w:type="dxa"/>
          <w:vAlign w:val="bottom"/>
          <w:hideMark/>
        </w:tcPr>
        <w:p w14:paraId="5AC65770" w14:textId="77777777" w:rsidR="007C7AA3" w:rsidRDefault="007C7AA3" w:rsidP="007C7AA3">
          <w:pPr>
            <w:pStyle w:val="Footer"/>
            <w:spacing w:line="256" w:lineRule="auto"/>
            <w:jc w:val="center"/>
            <w:rPr>
              <w:b/>
              <w:sz w:val="20"/>
            </w:rPr>
          </w:pPr>
          <w:r>
            <w:rPr>
              <w:b/>
              <w:sz w:val="20"/>
            </w:rPr>
            <w:t>__-21</w:t>
          </w:r>
        </w:p>
      </w:tc>
      <w:tc>
        <w:tcPr>
          <w:tcW w:w="3192" w:type="dxa"/>
          <w:vAlign w:val="bottom"/>
          <w:hideMark/>
        </w:tcPr>
        <w:p w14:paraId="06154AF1" w14:textId="77777777" w:rsidR="007C7AA3" w:rsidRDefault="007C7AA3" w:rsidP="007C7AA3">
          <w:pPr>
            <w:rPr>
              <w:b/>
              <w:sz w:val="20"/>
            </w:rPr>
          </w:pPr>
        </w:p>
      </w:tc>
    </w:tr>
  </w:tbl>
  <w:p w14:paraId="66177174" w14:textId="77777777" w:rsidR="00F7480B" w:rsidRPr="00711B25" w:rsidRDefault="00F7480B" w:rsidP="00FC1DAB">
    <w:pPr>
      <w:pStyle w:val="Footer"/>
      <w:jc w:val="lef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5DD13" w14:textId="77777777" w:rsidR="00034098" w:rsidRDefault="00034098" w:rsidP="00034098"/>
  <w:tbl>
    <w:tblPr>
      <w:tblW w:w="9690" w:type="dxa"/>
      <w:tblInd w:w="-90" w:type="dxa"/>
      <w:tblLook w:val="01E0" w:firstRow="1" w:lastRow="1" w:firstColumn="1" w:lastColumn="1" w:noHBand="0" w:noVBand="0"/>
    </w:tblPr>
    <w:tblGrid>
      <w:gridCol w:w="4230"/>
      <w:gridCol w:w="2268"/>
      <w:gridCol w:w="3192"/>
    </w:tblGrid>
    <w:tr w:rsidR="00034098" w14:paraId="07494887" w14:textId="77777777" w:rsidTr="00034098">
      <w:trPr>
        <w:trHeight w:val="297"/>
      </w:trPr>
      <w:tc>
        <w:tcPr>
          <w:tcW w:w="4230" w:type="dxa"/>
          <w:vAlign w:val="bottom"/>
          <w:hideMark/>
        </w:tcPr>
        <w:p w14:paraId="649EF6A5" w14:textId="6425A4A1" w:rsidR="00034098" w:rsidRDefault="00034098" w:rsidP="00034098">
          <w:pPr>
            <w:pStyle w:val="Footer"/>
            <w:spacing w:line="256" w:lineRule="auto"/>
            <w:jc w:val="left"/>
            <w:rPr>
              <w:b/>
              <w:sz w:val="20"/>
            </w:rPr>
          </w:pPr>
          <w:r>
            <w:rPr>
              <w:b/>
              <w:sz w:val="20"/>
            </w:rPr>
            <w:t>Modifications to Security Instrument (Co-Borrowers)</w:t>
          </w:r>
        </w:p>
      </w:tc>
      <w:tc>
        <w:tcPr>
          <w:tcW w:w="2268" w:type="dxa"/>
          <w:vAlign w:val="bottom"/>
          <w:hideMark/>
        </w:tcPr>
        <w:p w14:paraId="4169027D" w14:textId="414B85CC" w:rsidR="00034098" w:rsidRDefault="00034098" w:rsidP="00034098">
          <w:pPr>
            <w:pStyle w:val="Footer"/>
            <w:spacing w:line="256" w:lineRule="auto"/>
            <w:jc w:val="center"/>
            <w:rPr>
              <w:b/>
              <w:sz w:val="20"/>
            </w:rPr>
          </w:pPr>
          <w:r>
            <w:rPr>
              <w:b/>
              <w:sz w:val="20"/>
            </w:rPr>
            <w:t>Form 6322</w:t>
          </w:r>
        </w:p>
      </w:tc>
      <w:tc>
        <w:tcPr>
          <w:tcW w:w="3192" w:type="dxa"/>
          <w:vAlign w:val="bottom"/>
          <w:hideMark/>
        </w:tcPr>
        <w:p w14:paraId="74915A7C" w14:textId="77777777" w:rsidR="00034098" w:rsidRDefault="00034098" w:rsidP="00034098">
          <w:pPr>
            <w:pStyle w:val="Footer"/>
            <w:spacing w:line="256" w:lineRule="auto"/>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2</w:t>
          </w:r>
          <w:r>
            <w:rPr>
              <w:rStyle w:val="PageNumber"/>
              <w:b/>
              <w:sz w:val="20"/>
            </w:rPr>
            <w:fldChar w:fldCharType="end"/>
          </w:r>
        </w:p>
      </w:tc>
    </w:tr>
    <w:tr w:rsidR="00034098" w14:paraId="07808739" w14:textId="77777777" w:rsidTr="00034098">
      <w:tc>
        <w:tcPr>
          <w:tcW w:w="4230" w:type="dxa"/>
          <w:vAlign w:val="bottom"/>
          <w:hideMark/>
        </w:tcPr>
        <w:p w14:paraId="217011BA" w14:textId="77777777" w:rsidR="00034098" w:rsidRDefault="00034098" w:rsidP="00034098">
          <w:pPr>
            <w:pStyle w:val="Footer"/>
            <w:spacing w:line="256" w:lineRule="auto"/>
            <w:rPr>
              <w:b/>
              <w:sz w:val="20"/>
            </w:rPr>
          </w:pPr>
          <w:r>
            <w:rPr>
              <w:b/>
              <w:sz w:val="20"/>
            </w:rPr>
            <w:t>Fannie Mae</w:t>
          </w:r>
        </w:p>
      </w:tc>
      <w:tc>
        <w:tcPr>
          <w:tcW w:w="2268" w:type="dxa"/>
          <w:vAlign w:val="bottom"/>
          <w:hideMark/>
        </w:tcPr>
        <w:p w14:paraId="6364C643" w14:textId="5D355FCD" w:rsidR="00034098" w:rsidRDefault="00B32F06" w:rsidP="00034098">
          <w:pPr>
            <w:pStyle w:val="Footer"/>
            <w:spacing w:line="256" w:lineRule="auto"/>
            <w:jc w:val="center"/>
            <w:rPr>
              <w:b/>
              <w:sz w:val="20"/>
            </w:rPr>
          </w:pPr>
          <w:r>
            <w:rPr>
              <w:b/>
              <w:sz w:val="20"/>
            </w:rPr>
            <w:t>0</w:t>
          </w:r>
          <w:r w:rsidR="00450BC5">
            <w:rPr>
              <w:b/>
              <w:sz w:val="20"/>
            </w:rPr>
            <w:t>4</w:t>
          </w:r>
          <w:r>
            <w:rPr>
              <w:b/>
              <w:sz w:val="20"/>
            </w:rPr>
            <w:t>-22</w:t>
          </w:r>
        </w:p>
      </w:tc>
      <w:tc>
        <w:tcPr>
          <w:tcW w:w="3192" w:type="dxa"/>
          <w:vAlign w:val="bottom"/>
          <w:hideMark/>
        </w:tcPr>
        <w:p w14:paraId="2C16F34C" w14:textId="7DE539CB" w:rsidR="00034098" w:rsidRDefault="00B32F06" w:rsidP="00B32F06">
          <w:pPr>
            <w:jc w:val="right"/>
            <w:rPr>
              <w:b/>
              <w:sz w:val="20"/>
            </w:rPr>
          </w:pPr>
          <w:r w:rsidRPr="00F80479">
            <w:rPr>
              <w:b/>
              <w:sz w:val="20"/>
              <w:szCs w:val="16"/>
            </w:rPr>
            <w:t>© 202</w:t>
          </w:r>
          <w:r>
            <w:rPr>
              <w:b/>
              <w:sz w:val="20"/>
              <w:szCs w:val="16"/>
            </w:rPr>
            <w:t>2</w:t>
          </w:r>
          <w:r w:rsidRPr="00F80479">
            <w:rPr>
              <w:b/>
              <w:sz w:val="20"/>
              <w:szCs w:val="16"/>
            </w:rPr>
            <w:t xml:space="preserve"> Fannie Mae</w:t>
          </w:r>
        </w:p>
      </w:tc>
    </w:tr>
  </w:tbl>
  <w:p w14:paraId="4C29CD8E" w14:textId="77777777" w:rsidR="00CE55C6" w:rsidRPr="00034098" w:rsidRDefault="00CE55C6" w:rsidP="00034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730D5" w14:textId="77777777" w:rsidR="005D4C0C" w:rsidRDefault="005D4C0C" w:rsidP="00F7480B">
      <w:r>
        <w:separator/>
      </w:r>
    </w:p>
  </w:footnote>
  <w:footnote w:type="continuationSeparator" w:id="0">
    <w:p w14:paraId="0C9F91DD" w14:textId="77777777" w:rsidR="005D4C0C" w:rsidRDefault="005D4C0C" w:rsidP="00F7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37A0" w14:textId="77777777" w:rsidR="00E06C65" w:rsidRDefault="00E06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4E2E" w14:textId="77777777" w:rsidR="00E06C65" w:rsidRDefault="00E06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72A30" w14:textId="7F250C3F" w:rsidR="00F624D6" w:rsidRPr="00F84A83" w:rsidRDefault="00F84A83" w:rsidP="00F84A83">
    <w:pPr>
      <w:pStyle w:val="Header"/>
      <w:spacing w:after="360"/>
    </w:pPr>
    <w:r>
      <w:rPr>
        <w:b/>
        <w:bCs/>
      </w:rPr>
      <w:t>[DRAFTING NOTE: ALL MORTGAGED PROPERTIES MUST BE LOCATED IN THE SAME STATE TO AVOID ISSUES WITH PROPERTY JURISDICTION, FORECLOSURE RIGHTS AND GOVERNING LAW.  INCLUDE THIS EXHIBIT WHEN THERE ARE MULTIPLE SECURITY INSTRUMENTS. EACH SECURITY INSTRUMENT MUST SECURE THE ENTIRE INDEBTEDNESS. CONTACT THE FANNIE MAE DEAL TEAM IF THE SECURED AMOUNT MUST BE CAPPED AT LESS THAN THE FULL AMOUNT OF THE INDEBTEDNESS.]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8711F83"/>
    <w:multiLevelType w:val="multilevel"/>
    <w:tmpl w:val="3BD60356"/>
    <w:numStyleLink w:val="Outline2"/>
  </w:abstractNum>
  <w:abstractNum w:abstractNumId="7"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B1787A"/>
    <w:multiLevelType w:val="multilevel"/>
    <w:tmpl w:val="4192FE8A"/>
    <w:lvl w:ilvl="0">
      <w:start w:val="7"/>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4DF1699A"/>
    <w:multiLevelType w:val="hybridMultilevel"/>
    <w:tmpl w:val="A7B445FE"/>
    <w:lvl w:ilvl="0" w:tplc="3E48AAF8">
      <w:start w:val="1"/>
      <w:numFmt w:val="bullet"/>
      <w:lvlText w:val=""/>
      <w:lvlJc w:val="left"/>
      <w:pPr>
        <w:ind w:left="720" w:hanging="360"/>
      </w:pPr>
      <w:rPr>
        <w:rFonts w:ascii="Wingdings" w:hAnsi="Wingdings" w:hint="default"/>
        <w:sz w:val="32"/>
        <w:szCs w:val="32"/>
      </w:rPr>
    </w:lvl>
    <w:lvl w:ilvl="1" w:tplc="B11AC0AC">
      <w:start w:val="1"/>
      <w:numFmt w:val="bullet"/>
      <w:lvlText w:val=""/>
      <w:lvlJc w:val="left"/>
      <w:pPr>
        <w:ind w:left="144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2" w15:restartNumberingAfterBreak="0">
    <w:nsid w:val="69D96738"/>
    <w:multiLevelType w:val="multilevel"/>
    <w:tmpl w:val="D9CE5B06"/>
    <w:lvl w:ilvl="0">
      <w:start w:val="1"/>
      <w:numFmt w:val="decimal"/>
      <w:lvlText w:val="%1."/>
      <w:lvlJc w:val="left"/>
      <w:pPr>
        <w:tabs>
          <w:tab w:val="num" w:pos="1440"/>
        </w:tabs>
        <w:ind w:left="720" w:firstLine="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72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2160" w:firstLine="720"/>
      </w:pPr>
      <w:rPr>
        <w:rFonts w:ascii="Times New Roman" w:hAnsi="Times New Roman" w:hint="default"/>
        <w:b w:val="0"/>
        <w:i w:val="0"/>
        <w:color w:val="auto"/>
        <w:sz w:val="24"/>
        <w:szCs w:val="24"/>
        <w:u w:val="none"/>
      </w:rPr>
    </w:lvl>
    <w:lvl w:ilvl="4">
      <w:start w:val="1"/>
      <w:numFmt w:val="upperLetter"/>
      <w:lvlText w:val="(%5)"/>
      <w:lvlJc w:val="left"/>
      <w:pPr>
        <w:tabs>
          <w:tab w:val="num" w:pos="1440"/>
        </w:tabs>
        <w:ind w:left="216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6480"/>
        </w:tabs>
        <w:ind w:left="3600" w:firstLine="2160"/>
      </w:pPr>
      <w:rPr>
        <w:rFonts w:hint="default"/>
        <w:b w:val="0"/>
        <w:i w:val="0"/>
        <w:color w:val="auto"/>
        <w:sz w:val="24"/>
        <w:szCs w:val="24"/>
        <w:u w:val="none"/>
      </w:rPr>
    </w:lvl>
    <w:lvl w:ilvl="6">
      <w:start w:val="1"/>
      <w:numFmt w:val="decimal"/>
      <w:lvlText w:val="%7."/>
      <w:lvlJc w:val="left"/>
      <w:pPr>
        <w:tabs>
          <w:tab w:val="num" w:pos="7200"/>
        </w:tabs>
        <w:ind w:left="2160" w:firstLine="4320"/>
      </w:pPr>
      <w:rPr>
        <w:rFonts w:hint="default"/>
        <w:color w:val="auto"/>
        <w:u w:val="none"/>
      </w:rPr>
    </w:lvl>
    <w:lvl w:ilvl="7">
      <w:start w:val="1"/>
      <w:numFmt w:val="lowerRoman"/>
      <w:lvlText w:val="%8."/>
      <w:lvlJc w:val="left"/>
      <w:pPr>
        <w:tabs>
          <w:tab w:val="num" w:pos="7920"/>
        </w:tabs>
        <w:ind w:left="2160" w:firstLine="5040"/>
      </w:pPr>
      <w:rPr>
        <w:rFonts w:hint="default"/>
        <w:color w:val="auto"/>
        <w:u w:val="none"/>
      </w:rPr>
    </w:lvl>
    <w:lvl w:ilvl="8">
      <w:start w:val="1"/>
      <w:numFmt w:val="decimal"/>
      <w:lvlText w:val="(%9)"/>
      <w:lvlJc w:val="left"/>
      <w:pPr>
        <w:tabs>
          <w:tab w:val="num" w:pos="8640"/>
        </w:tabs>
        <w:ind w:left="2160" w:firstLine="5760"/>
      </w:pPr>
      <w:rPr>
        <w:rFonts w:hint="default"/>
        <w:color w:val="auto"/>
        <w:u w:val="none"/>
      </w:rPr>
    </w:lvl>
  </w:abstractNum>
  <w:abstractNum w:abstractNumId="13" w15:restartNumberingAfterBreak="0">
    <w:nsid w:val="6C2647D0"/>
    <w:multiLevelType w:val="hybridMultilevel"/>
    <w:tmpl w:val="02364BF8"/>
    <w:lvl w:ilvl="0" w:tplc="33C69B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E53791"/>
    <w:multiLevelType w:val="multilevel"/>
    <w:tmpl w:val="807E0A60"/>
    <w:numStyleLink w:val="Legal"/>
  </w:abstractNum>
  <w:abstractNum w:abstractNumId="15" w15:restartNumberingAfterBreak="0">
    <w:nsid w:val="764C1611"/>
    <w:multiLevelType w:val="multilevel"/>
    <w:tmpl w:val="3BD60356"/>
    <w:numStyleLink w:val="Outline2"/>
  </w:abstractNum>
  <w:abstractNum w:abstractNumId="16" w15:restartNumberingAfterBreak="0">
    <w:nsid w:val="7C1C090D"/>
    <w:multiLevelType w:val="multilevel"/>
    <w:tmpl w:val="3BD60356"/>
    <w:numStyleLink w:val="Outline2"/>
  </w:abstractNum>
  <w:num w:numId="1">
    <w:abstractNumId w:val="7"/>
  </w:num>
  <w:num w:numId="2">
    <w:abstractNumId w:val="2"/>
  </w:num>
  <w:num w:numId="3">
    <w:abstractNumId w:val="1"/>
  </w:num>
  <w:num w:numId="4">
    <w:abstractNumId w:val="0"/>
  </w:num>
  <w:num w:numId="5">
    <w:abstractNumId w:val="10"/>
  </w:num>
  <w:num w:numId="6">
    <w:abstractNumId w:val="10"/>
  </w:num>
  <w:num w:numId="7">
    <w:abstractNumId w:val="10"/>
  </w:num>
  <w:num w:numId="8">
    <w:abstractNumId w:val="10"/>
  </w:num>
  <w:num w:numId="9">
    <w:abstractNumId w:val="3"/>
  </w:num>
  <w:num w:numId="10">
    <w:abstractNumId w:val="3"/>
  </w:num>
  <w:num w:numId="11">
    <w:abstractNumId w:val="3"/>
  </w:num>
  <w:num w:numId="12">
    <w:abstractNumId w:val="3"/>
  </w:num>
  <w:num w:numId="13">
    <w:abstractNumId w:val="3"/>
  </w:num>
  <w:num w:numId="14">
    <w:abstractNumId w:val="14"/>
  </w:num>
  <w:num w:numId="15">
    <w:abstractNumId w:val="14"/>
  </w:num>
  <w:num w:numId="16">
    <w:abstractNumId w:val="14"/>
  </w:num>
  <w:num w:numId="17">
    <w:abstractNumId w:val="14"/>
  </w:num>
  <w:num w:numId="18">
    <w:abstractNumId w:val="14"/>
  </w:num>
  <w:num w:numId="19">
    <w:abstractNumId w:val="10"/>
  </w:num>
  <w:num w:numId="20">
    <w:abstractNumId w:val="10"/>
  </w:num>
  <w:num w:numId="21">
    <w:abstractNumId w:val="10"/>
  </w:num>
  <w:num w:numId="22">
    <w:abstractNumId w:val="10"/>
  </w:num>
  <w:num w:numId="23">
    <w:abstractNumId w:val="3"/>
  </w:num>
  <w:num w:numId="24">
    <w:abstractNumId w:val="3"/>
  </w:num>
  <w:num w:numId="25">
    <w:abstractNumId w:val="3"/>
  </w:num>
  <w:num w:numId="26">
    <w:abstractNumId w:val="3"/>
  </w:num>
  <w:num w:numId="27">
    <w:abstractNumId w:val="3"/>
  </w:num>
  <w:num w:numId="28">
    <w:abstractNumId w:val="5"/>
  </w:num>
  <w:num w:numId="29">
    <w:abstractNumId w:val="5"/>
  </w:num>
  <w:num w:numId="30">
    <w:abstractNumId w:val="5"/>
  </w:num>
  <w:num w:numId="31">
    <w:abstractNumId w:val="16"/>
  </w:num>
  <w:num w:numId="32">
    <w:abstractNumId w:val="15"/>
  </w:num>
  <w:num w:numId="33">
    <w:abstractNumId w:val="5"/>
  </w:num>
  <w:num w:numId="34">
    <w:abstractNumId w:val="16"/>
  </w:num>
  <w:num w:numId="35">
    <w:abstractNumId w:val="16"/>
  </w:num>
  <w:num w:numId="36">
    <w:abstractNumId w:val="16"/>
  </w:num>
  <w:num w:numId="37">
    <w:abstractNumId w:val="16"/>
  </w:num>
  <w:num w:numId="38">
    <w:abstractNumId w:val="2"/>
  </w:num>
  <w:num w:numId="39">
    <w:abstractNumId w:val="1"/>
  </w:num>
  <w:num w:numId="40">
    <w:abstractNumId w:val="0"/>
  </w:num>
  <w:num w:numId="41">
    <w:abstractNumId w:val="4"/>
  </w:num>
  <w:num w:numId="42">
    <w:abstractNumId w:val="6"/>
  </w:num>
  <w:num w:numId="43">
    <w:abstractNumId w:val="11"/>
  </w:num>
  <w:num w:numId="44">
    <w:abstractNumId w:val="12"/>
  </w:num>
  <w:num w:numId="45">
    <w:abstractNumId w:val="9"/>
  </w:num>
  <w:num w:numId="46">
    <w:abstractNumId w:val="9"/>
  </w:num>
  <w:num w:numId="47">
    <w:abstractNumId w:val="8"/>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65"/>
    <w:rsid w:val="00003539"/>
    <w:rsid w:val="00026AE1"/>
    <w:rsid w:val="00034098"/>
    <w:rsid w:val="00057E74"/>
    <w:rsid w:val="00066B7C"/>
    <w:rsid w:val="0009237C"/>
    <w:rsid w:val="000C1ED2"/>
    <w:rsid w:val="000C336D"/>
    <w:rsid w:val="000C3480"/>
    <w:rsid w:val="000D2E2A"/>
    <w:rsid w:val="000F07B5"/>
    <w:rsid w:val="000F58DE"/>
    <w:rsid w:val="00113116"/>
    <w:rsid w:val="0014528C"/>
    <w:rsid w:val="00156725"/>
    <w:rsid w:val="00162046"/>
    <w:rsid w:val="001736BB"/>
    <w:rsid w:val="00192BFC"/>
    <w:rsid w:val="001A5C4E"/>
    <w:rsid w:val="001D612E"/>
    <w:rsid w:val="001F1F49"/>
    <w:rsid w:val="001F3307"/>
    <w:rsid w:val="00207366"/>
    <w:rsid w:val="00223DD7"/>
    <w:rsid w:val="002322E6"/>
    <w:rsid w:val="00245DA5"/>
    <w:rsid w:val="002656F7"/>
    <w:rsid w:val="0027596A"/>
    <w:rsid w:val="002A18A9"/>
    <w:rsid w:val="002B18AA"/>
    <w:rsid w:val="002B5B2E"/>
    <w:rsid w:val="002B7144"/>
    <w:rsid w:val="002D49CE"/>
    <w:rsid w:val="002D7514"/>
    <w:rsid w:val="002E6F33"/>
    <w:rsid w:val="003045F4"/>
    <w:rsid w:val="00351EE6"/>
    <w:rsid w:val="00365CFE"/>
    <w:rsid w:val="00380612"/>
    <w:rsid w:val="00382510"/>
    <w:rsid w:val="003946B0"/>
    <w:rsid w:val="003C30D5"/>
    <w:rsid w:val="003C3706"/>
    <w:rsid w:val="003C3B6F"/>
    <w:rsid w:val="003C4CBD"/>
    <w:rsid w:val="003C546A"/>
    <w:rsid w:val="00450BC5"/>
    <w:rsid w:val="004733F3"/>
    <w:rsid w:val="004736FC"/>
    <w:rsid w:val="004A7B86"/>
    <w:rsid w:val="004B116A"/>
    <w:rsid w:val="004B2BC0"/>
    <w:rsid w:val="004C2D34"/>
    <w:rsid w:val="004D2BD5"/>
    <w:rsid w:val="004E0F38"/>
    <w:rsid w:val="004E6068"/>
    <w:rsid w:val="004F3B83"/>
    <w:rsid w:val="004F7738"/>
    <w:rsid w:val="0050290F"/>
    <w:rsid w:val="005029CF"/>
    <w:rsid w:val="0050322D"/>
    <w:rsid w:val="00525355"/>
    <w:rsid w:val="00527215"/>
    <w:rsid w:val="00541BF6"/>
    <w:rsid w:val="00541F49"/>
    <w:rsid w:val="005501EF"/>
    <w:rsid w:val="005915EF"/>
    <w:rsid w:val="00592557"/>
    <w:rsid w:val="005A51DD"/>
    <w:rsid w:val="005B0153"/>
    <w:rsid w:val="005B3950"/>
    <w:rsid w:val="005B59F9"/>
    <w:rsid w:val="005B71D4"/>
    <w:rsid w:val="005C23F2"/>
    <w:rsid w:val="005D14C3"/>
    <w:rsid w:val="005D4C0C"/>
    <w:rsid w:val="005E34BC"/>
    <w:rsid w:val="005F0F00"/>
    <w:rsid w:val="005F2EBE"/>
    <w:rsid w:val="005F7EAB"/>
    <w:rsid w:val="006239A0"/>
    <w:rsid w:val="006A5721"/>
    <w:rsid w:val="006B3710"/>
    <w:rsid w:val="006B69D6"/>
    <w:rsid w:val="006B6BED"/>
    <w:rsid w:val="006C55B7"/>
    <w:rsid w:val="006D368D"/>
    <w:rsid w:val="006F12D6"/>
    <w:rsid w:val="006F6E3E"/>
    <w:rsid w:val="00711B25"/>
    <w:rsid w:val="00717AC2"/>
    <w:rsid w:val="007272BE"/>
    <w:rsid w:val="00746DDD"/>
    <w:rsid w:val="0076329F"/>
    <w:rsid w:val="0076790E"/>
    <w:rsid w:val="00774865"/>
    <w:rsid w:val="00783AAA"/>
    <w:rsid w:val="007844E6"/>
    <w:rsid w:val="007C7AA3"/>
    <w:rsid w:val="007C7E6E"/>
    <w:rsid w:val="007D4E3D"/>
    <w:rsid w:val="007D7CBE"/>
    <w:rsid w:val="007E00A5"/>
    <w:rsid w:val="007F0B71"/>
    <w:rsid w:val="007F6D22"/>
    <w:rsid w:val="00801DF8"/>
    <w:rsid w:val="0080524A"/>
    <w:rsid w:val="00816901"/>
    <w:rsid w:val="00817F0D"/>
    <w:rsid w:val="00833A8B"/>
    <w:rsid w:val="00844448"/>
    <w:rsid w:val="008447A2"/>
    <w:rsid w:val="008452AE"/>
    <w:rsid w:val="008719E0"/>
    <w:rsid w:val="00887482"/>
    <w:rsid w:val="008C0DCD"/>
    <w:rsid w:val="008C50E1"/>
    <w:rsid w:val="008D2338"/>
    <w:rsid w:val="008F2E04"/>
    <w:rsid w:val="00901BBD"/>
    <w:rsid w:val="00921C91"/>
    <w:rsid w:val="009254AF"/>
    <w:rsid w:val="009306D7"/>
    <w:rsid w:val="00933FE1"/>
    <w:rsid w:val="009374AA"/>
    <w:rsid w:val="00940A48"/>
    <w:rsid w:val="0094674F"/>
    <w:rsid w:val="00947347"/>
    <w:rsid w:val="00947BFB"/>
    <w:rsid w:val="00963902"/>
    <w:rsid w:val="00973377"/>
    <w:rsid w:val="00977ED3"/>
    <w:rsid w:val="00980203"/>
    <w:rsid w:val="00981B36"/>
    <w:rsid w:val="00985C4A"/>
    <w:rsid w:val="00985C82"/>
    <w:rsid w:val="00993094"/>
    <w:rsid w:val="0099614A"/>
    <w:rsid w:val="009D1CFA"/>
    <w:rsid w:val="009F5E28"/>
    <w:rsid w:val="009F7F8A"/>
    <w:rsid w:val="00A0456E"/>
    <w:rsid w:val="00A156EF"/>
    <w:rsid w:val="00A25D61"/>
    <w:rsid w:val="00A27A45"/>
    <w:rsid w:val="00A721ED"/>
    <w:rsid w:val="00AA0362"/>
    <w:rsid w:val="00AB0659"/>
    <w:rsid w:val="00AB72D3"/>
    <w:rsid w:val="00AD201B"/>
    <w:rsid w:val="00AF2469"/>
    <w:rsid w:val="00B20CEB"/>
    <w:rsid w:val="00B32F06"/>
    <w:rsid w:val="00B40F11"/>
    <w:rsid w:val="00B51A5B"/>
    <w:rsid w:val="00B624CA"/>
    <w:rsid w:val="00B86740"/>
    <w:rsid w:val="00BA2487"/>
    <w:rsid w:val="00BA2A7D"/>
    <w:rsid w:val="00BB1CFD"/>
    <w:rsid w:val="00BB5A0B"/>
    <w:rsid w:val="00BB60C5"/>
    <w:rsid w:val="00BB7FDC"/>
    <w:rsid w:val="00BC1361"/>
    <w:rsid w:val="00BC78DD"/>
    <w:rsid w:val="00BC7A5E"/>
    <w:rsid w:val="00BE1A6B"/>
    <w:rsid w:val="00BF33A9"/>
    <w:rsid w:val="00BF41AC"/>
    <w:rsid w:val="00C012D8"/>
    <w:rsid w:val="00C0755F"/>
    <w:rsid w:val="00C2240F"/>
    <w:rsid w:val="00C24187"/>
    <w:rsid w:val="00C335B8"/>
    <w:rsid w:val="00C976B8"/>
    <w:rsid w:val="00CB378B"/>
    <w:rsid w:val="00CE55C6"/>
    <w:rsid w:val="00D05FEE"/>
    <w:rsid w:val="00D06D6A"/>
    <w:rsid w:val="00D12FCD"/>
    <w:rsid w:val="00D168A4"/>
    <w:rsid w:val="00D47F2D"/>
    <w:rsid w:val="00D5050B"/>
    <w:rsid w:val="00D62743"/>
    <w:rsid w:val="00D63F67"/>
    <w:rsid w:val="00D839DD"/>
    <w:rsid w:val="00D83BAC"/>
    <w:rsid w:val="00D848C1"/>
    <w:rsid w:val="00D901AD"/>
    <w:rsid w:val="00D903BF"/>
    <w:rsid w:val="00DA3D1A"/>
    <w:rsid w:val="00DC1C8A"/>
    <w:rsid w:val="00DC6AE2"/>
    <w:rsid w:val="00DE04E6"/>
    <w:rsid w:val="00DE7153"/>
    <w:rsid w:val="00E06C65"/>
    <w:rsid w:val="00E44E8C"/>
    <w:rsid w:val="00E47D88"/>
    <w:rsid w:val="00E47F77"/>
    <w:rsid w:val="00E71A05"/>
    <w:rsid w:val="00EB08B7"/>
    <w:rsid w:val="00EB6353"/>
    <w:rsid w:val="00F232E0"/>
    <w:rsid w:val="00F24689"/>
    <w:rsid w:val="00F3334A"/>
    <w:rsid w:val="00F4194D"/>
    <w:rsid w:val="00F624D6"/>
    <w:rsid w:val="00F7480B"/>
    <w:rsid w:val="00F84A83"/>
    <w:rsid w:val="00F92F30"/>
    <w:rsid w:val="00F95923"/>
    <w:rsid w:val="00FC1DAB"/>
    <w:rsid w:val="00FC3A10"/>
    <w:rsid w:val="00FC6F2A"/>
    <w:rsid w:val="00FE1DC3"/>
    <w:rsid w:val="00FF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32327"/>
  <w15:docId w15:val="{DB4D8549-7573-4D5A-B370-C21B5249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E6"/>
    <w:pPr>
      <w:widowControl w:val="0"/>
      <w:autoSpaceDE w:val="0"/>
      <w:autoSpaceDN w:val="0"/>
      <w:adjustRightInd w:val="0"/>
      <w:spacing w:after="0"/>
      <w:jc w:val="both"/>
    </w:pPr>
    <w:rPr>
      <w:rFonts w:eastAsia="Times New Roman" w:cs="Times New Roman"/>
    </w:rPr>
  </w:style>
  <w:style w:type="paragraph" w:styleId="Heading1">
    <w:name w:val="heading 1"/>
    <w:basedOn w:val="BodyText"/>
    <w:link w:val="Heading1Char"/>
    <w:uiPriority w:val="3"/>
    <w:qFormat/>
    <w:rsid w:val="009F5E28"/>
    <w:pPr>
      <w:keepNext/>
      <w:keepLines/>
      <w:numPr>
        <w:numId w:val="42"/>
      </w:numPr>
      <w:outlineLvl w:val="0"/>
    </w:pPr>
    <w:rPr>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b/>
      <w:bCs/>
      <w:szCs w:val="26"/>
    </w:rPr>
  </w:style>
  <w:style w:type="paragraph" w:styleId="Heading3">
    <w:name w:val="heading 3"/>
    <w:basedOn w:val="BodyText"/>
    <w:link w:val="Heading3Char"/>
    <w:uiPriority w:val="3"/>
    <w:qFormat/>
    <w:rsid w:val="009F5E28"/>
    <w:pPr>
      <w:keepNext/>
      <w:keepLines/>
      <w:numPr>
        <w:ilvl w:val="2"/>
        <w:numId w:val="42"/>
      </w:numPr>
      <w:outlineLvl w:val="2"/>
    </w:pPr>
    <w:rPr>
      <w:bCs/>
    </w:rPr>
  </w:style>
  <w:style w:type="paragraph" w:styleId="Heading4">
    <w:name w:val="heading 4"/>
    <w:basedOn w:val="BodyText"/>
    <w:link w:val="Heading4Char"/>
    <w:uiPriority w:val="3"/>
    <w:qFormat/>
    <w:rsid w:val="009F5E28"/>
    <w:pPr>
      <w:keepNext/>
      <w:keepLines/>
      <w:numPr>
        <w:ilvl w:val="3"/>
        <w:numId w:val="42"/>
      </w:numPr>
      <w:outlineLvl w:val="3"/>
    </w:pPr>
    <w:rPr>
      <w:bCs/>
      <w:iCs/>
    </w:rPr>
  </w:style>
  <w:style w:type="paragraph" w:styleId="Heading5">
    <w:name w:val="heading 5"/>
    <w:basedOn w:val="BodyText"/>
    <w:link w:val="Heading5Char"/>
    <w:uiPriority w:val="3"/>
    <w:qFormat/>
    <w:rsid w:val="003045F4"/>
    <w:pPr>
      <w:keepNext/>
      <w:keepLines/>
      <w:numPr>
        <w:ilvl w:val="4"/>
        <w:numId w:val="4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ListParagraph">
    <w:name w:val="List Paragraph"/>
    <w:basedOn w:val="Normal"/>
    <w:uiPriority w:val="34"/>
    <w:qFormat/>
    <w:locked/>
    <w:rsid w:val="00774865"/>
    <w:pPr>
      <w:ind w:left="720"/>
      <w:contextualSpacing/>
    </w:pPr>
  </w:style>
  <w:style w:type="paragraph" w:styleId="Header">
    <w:name w:val="header"/>
    <w:basedOn w:val="Normal"/>
    <w:link w:val="HeaderChar"/>
    <w:uiPriority w:val="99"/>
    <w:unhideWhenUsed/>
    <w:rsid w:val="00F7480B"/>
    <w:pPr>
      <w:tabs>
        <w:tab w:val="center" w:pos="4680"/>
        <w:tab w:val="right" w:pos="9360"/>
      </w:tabs>
    </w:pPr>
  </w:style>
  <w:style w:type="character" w:customStyle="1" w:styleId="HeaderChar">
    <w:name w:val="Header Char"/>
    <w:basedOn w:val="DefaultParagraphFont"/>
    <w:link w:val="Header"/>
    <w:uiPriority w:val="99"/>
    <w:rsid w:val="00F7480B"/>
    <w:rPr>
      <w:rFonts w:eastAsia="Times New Roman" w:cs="Times New Roman"/>
    </w:rPr>
  </w:style>
  <w:style w:type="paragraph" w:styleId="Footer">
    <w:name w:val="footer"/>
    <w:basedOn w:val="Normal"/>
    <w:link w:val="FooterChar"/>
    <w:unhideWhenUsed/>
    <w:rsid w:val="00F7480B"/>
    <w:pPr>
      <w:tabs>
        <w:tab w:val="center" w:pos="4680"/>
        <w:tab w:val="right" w:pos="9360"/>
      </w:tabs>
    </w:pPr>
  </w:style>
  <w:style w:type="character" w:customStyle="1" w:styleId="FooterChar">
    <w:name w:val="Footer Char"/>
    <w:basedOn w:val="DefaultParagraphFont"/>
    <w:link w:val="Footer"/>
    <w:rsid w:val="00F7480B"/>
    <w:rPr>
      <w:rFonts w:eastAsia="Times New Roman" w:cs="Times New Roman"/>
    </w:rPr>
  </w:style>
  <w:style w:type="paragraph" w:styleId="BalloonText">
    <w:name w:val="Balloon Text"/>
    <w:basedOn w:val="Normal"/>
    <w:link w:val="BalloonTextChar"/>
    <w:uiPriority w:val="99"/>
    <w:semiHidden/>
    <w:unhideWhenUsed/>
    <w:rsid w:val="00F7480B"/>
    <w:rPr>
      <w:rFonts w:ascii="Tahoma" w:hAnsi="Tahoma" w:cs="Tahoma"/>
      <w:sz w:val="16"/>
      <w:szCs w:val="16"/>
    </w:rPr>
  </w:style>
  <w:style w:type="character" w:customStyle="1" w:styleId="BalloonTextChar">
    <w:name w:val="Balloon Text Char"/>
    <w:basedOn w:val="DefaultParagraphFont"/>
    <w:link w:val="BalloonText"/>
    <w:uiPriority w:val="99"/>
    <w:semiHidden/>
    <w:rsid w:val="00F7480B"/>
    <w:rPr>
      <w:rFonts w:ascii="Tahoma" w:eastAsia="Times New Roman" w:hAnsi="Tahoma" w:cs="Tahoma"/>
      <w:sz w:val="16"/>
      <w:szCs w:val="16"/>
    </w:rPr>
  </w:style>
  <w:style w:type="character" w:styleId="PageNumber">
    <w:name w:val="page number"/>
    <w:basedOn w:val="DefaultParagraphFont"/>
    <w:semiHidden/>
    <w:rsid w:val="00F7480B"/>
  </w:style>
  <w:style w:type="character" w:customStyle="1" w:styleId="SingleChar">
    <w:name w:val="Single Char"/>
    <w:basedOn w:val="DefaultParagraphFont"/>
    <w:link w:val="Single"/>
    <w:locked/>
    <w:rsid w:val="00717AC2"/>
  </w:style>
  <w:style w:type="paragraph" w:customStyle="1" w:styleId="Single">
    <w:name w:val="Single"/>
    <w:basedOn w:val="Normal"/>
    <w:link w:val="SingleChar"/>
    <w:rsid w:val="00717AC2"/>
    <w:pPr>
      <w:widowControl/>
      <w:autoSpaceDE/>
      <w:autoSpaceDN/>
      <w:adjustRightInd/>
      <w:spacing w:before="240"/>
      <w:ind w:firstLine="720"/>
      <w:jc w:val="left"/>
    </w:pPr>
    <w:rPr>
      <w:rFonts w:eastAsiaTheme="minorHAnsi" w:cstheme="minorBidi"/>
    </w:rPr>
  </w:style>
  <w:style w:type="character" w:styleId="Hyperlink">
    <w:name w:val="Hyperlink"/>
    <w:basedOn w:val="DefaultParagraphFont"/>
    <w:uiPriority w:val="99"/>
    <w:semiHidden/>
    <w:unhideWhenUsed/>
    <w:rsid w:val="009254AF"/>
    <w:rPr>
      <w:color w:val="0000FF"/>
      <w:u w:val="single"/>
    </w:rPr>
  </w:style>
  <w:style w:type="character" w:styleId="Strong">
    <w:name w:val="Strong"/>
    <w:basedOn w:val="DefaultParagraphFont"/>
    <w:uiPriority w:val="22"/>
    <w:qFormat/>
    <w:locked/>
    <w:rsid w:val="001A5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4615">
      <w:bodyDiv w:val="1"/>
      <w:marLeft w:val="0"/>
      <w:marRight w:val="0"/>
      <w:marTop w:val="0"/>
      <w:marBottom w:val="0"/>
      <w:divBdr>
        <w:top w:val="none" w:sz="0" w:space="0" w:color="auto"/>
        <w:left w:val="none" w:sz="0" w:space="0" w:color="auto"/>
        <w:bottom w:val="none" w:sz="0" w:space="0" w:color="auto"/>
        <w:right w:val="none" w:sz="0" w:space="0" w:color="auto"/>
      </w:divBdr>
    </w:div>
    <w:div w:id="421921057">
      <w:bodyDiv w:val="1"/>
      <w:marLeft w:val="0"/>
      <w:marRight w:val="0"/>
      <w:marTop w:val="0"/>
      <w:marBottom w:val="0"/>
      <w:divBdr>
        <w:top w:val="none" w:sz="0" w:space="0" w:color="auto"/>
        <w:left w:val="none" w:sz="0" w:space="0" w:color="auto"/>
        <w:bottom w:val="none" w:sz="0" w:space="0" w:color="auto"/>
        <w:right w:val="none" w:sz="0" w:space="0" w:color="auto"/>
      </w:divBdr>
    </w:div>
    <w:div w:id="442923808">
      <w:bodyDiv w:val="1"/>
      <w:marLeft w:val="0"/>
      <w:marRight w:val="0"/>
      <w:marTop w:val="0"/>
      <w:marBottom w:val="0"/>
      <w:divBdr>
        <w:top w:val="none" w:sz="0" w:space="0" w:color="auto"/>
        <w:left w:val="none" w:sz="0" w:space="0" w:color="auto"/>
        <w:bottom w:val="none" w:sz="0" w:space="0" w:color="auto"/>
        <w:right w:val="none" w:sz="0" w:space="0" w:color="auto"/>
      </w:divBdr>
    </w:div>
    <w:div w:id="463619360">
      <w:bodyDiv w:val="1"/>
      <w:marLeft w:val="0"/>
      <w:marRight w:val="0"/>
      <w:marTop w:val="0"/>
      <w:marBottom w:val="0"/>
      <w:divBdr>
        <w:top w:val="none" w:sz="0" w:space="0" w:color="auto"/>
        <w:left w:val="none" w:sz="0" w:space="0" w:color="auto"/>
        <w:bottom w:val="none" w:sz="0" w:space="0" w:color="auto"/>
        <w:right w:val="none" w:sz="0" w:space="0" w:color="auto"/>
      </w:divBdr>
    </w:div>
    <w:div w:id="483133086">
      <w:bodyDiv w:val="1"/>
      <w:marLeft w:val="0"/>
      <w:marRight w:val="0"/>
      <w:marTop w:val="0"/>
      <w:marBottom w:val="0"/>
      <w:divBdr>
        <w:top w:val="none" w:sz="0" w:space="0" w:color="auto"/>
        <w:left w:val="none" w:sz="0" w:space="0" w:color="auto"/>
        <w:bottom w:val="none" w:sz="0" w:space="0" w:color="auto"/>
        <w:right w:val="none" w:sz="0" w:space="0" w:color="auto"/>
      </w:divBdr>
    </w:div>
    <w:div w:id="549610749">
      <w:bodyDiv w:val="1"/>
      <w:marLeft w:val="0"/>
      <w:marRight w:val="0"/>
      <w:marTop w:val="0"/>
      <w:marBottom w:val="0"/>
      <w:divBdr>
        <w:top w:val="none" w:sz="0" w:space="0" w:color="auto"/>
        <w:left w:val="none" w:sz="0" w:space="0" w:color="auto"/>
        <w:bottom w:val="none" w:sz="0" w:space="0" w:color="auto"/>
        <w:right w:val="none" w:sz="0" w:space="0" w:color="auto"/>
      </w:divBdr>
    </w:div>
    <w:div w:id="597492486">
      <w:bodyDiv w:val="1"/>
      <w:marLeft w:val="0"/>
      <w:marRight w:val="0"/>
      <w:marTop w:val="0"/>
      <w:marBottom w:val="0"/>
      <w:divBdr>
        <w:top w:val="none" w:sz="0" w:space="0" w:color="auto"/>
        <w:left w:val="none" w:sz="0" w:space="0" w:color="auto"/>
        <w:bottom w:val="none" w:sz="0" w:space="0" w:color="auto"/>
        <w:right w:val="none" w:sz="0" w:space="0" w:color="auto"/>
      </w:divBdr>
    </w:div>
    <w:div w:id="760952545">
      <w:bodyDiv w:val="1"/>
      <w:marLeft w:val="0"/>
      <w:marRight w:val="0"/>
      <w:marTop w:val="0"/>
      <w:marBottom w:val="0"/>
      <w:divBdr>
        <w:top w:val="none" w:sz="0" w:space="0" w:color="auto"/>
        <w:left w:val="none" w:sz="0" w:space="0" w:color="auto"/>
        <w:bottom w:val="none" w:sz="0" w:space="0" w:color="auto"/>
        <w:right w:val="none" w:sz="0" w:space="0" w:color="auto"/>
      </w:divBdr>
    </w:div>
    <w:div w:id="762453103">
      <w:bodyDiv w:val="1"/>
      <w:marLeft w:val="0"/>
      <w:marRight w:val="0"/>
      <w:marTop w:val="0"/>
      <w:marBottom w:val="0"/>
      <w:divBdr>
        <w:top w:val="none" w:sz="0" w:space="0" w:color="auto"/>
        <w:left w:val="none" w:sz="0" w:space="0" w:color="auto"/>
        <w:bottom w:val="none" w:sz="0" w:space="0" w:color="auto"/>
        <w:right w:val="none" w:sz="0" w:space="0" w:color="auto"/>
      </w:divBdr>
    </w:div>
    <w:div w:id="909733701">
      <w:bodyDiv w:val="1"/>
      <w:marLeft w:val="0"/>
      <w:marRight w:val="0"/>
      <w:marTop w:val="0"/>
      <w:marBottom w:val="0"/>
      <w:divBdr>
        <w:top w:val="none" w:sz="0" w:space="0" w:color="auto"/>
        <w:left w:val="none" w:sz="0" w:space="0" w:color="auto"/>
        <w:bottom w:val="none" w:sz="0" w:space="0" w:color="auto"/>
        <w:right w:val="none" w:sz="0" w:space="0" w:color="auto"/>
      </w:divBdr>
    </w:div>
    <w:div w:id="1031148706">
      <w:bodyDiv w:val="1"/>
      <w:marLeft w:val="0"/>
      <w:marRight w:val="0"/>
      <w:marTop w:val="0"/>
      <w:marBottom w:val="0"/>
      <w:divBdr>
        <w:top w:val="none" w:sz="0" w:space="0" w:color="auto"/>
        <w:left w:val="none" w:sz="0" w:space="0" w:color="auto"/>
        <w:bottom w:val="none" w:sz="0" w:space="0" w:color="auto"/>
        <w:right w:val="none" w:sz="0" w:space="0" w:color="auto"/>
      </w:divBdr>
    </w:div>
    <w:div w:id="1039823328">
      <w:bodyDiv w:val="1"/>
      <w:marLeft w:val="0"/>
      <w:marRight w:val="0"/>
      <w:marTop w:val="0"/>
      <w:marBottom w:val="0"/>
      <w:divBdr>
        <w:top w:val="none" w:sz="0" w:space="0" w:color="auto"/>
        <w:left w:val="none" w:sz="0" w:space="0" w:color="auto"/>
        <w:bottom w:val="none" w:sz="0" w:space="0" w:color="auto"/>
        <w:right w:val="none" w:sz="0" w:space="0" w:color="auto"/>
      </w:divBdr>
    </w:div>
    <w:div w:id="1253201991">
      <w:bodyDiv w:val="1"/>
      <w:marLeft w:val="0"/>
      <w:marRight w:val="0"/>
      <w:marTop w:val="0"/>
      <w:marBottom w:val="0"/>
      <w:divBdr>
        <w:top w:val="none" w:sz="0" w:space="0" w:color="auto"/>
        <w:left w:val="none" w:sz="0" w:space="0" w:color="auto"/>
        <w:bottom w:val="none" w:sz="0" w:space="0" w:color="auto"/>
        <w:right w:val="none" w:sz="0" w:space="0" w:color="auto"/>
      </w:divBdr>
    </w:div>
    <w:div w:id="1478648695">
      <w:bodyDiv w:val="1"/>
      <w:marLeft w:val="0"/>
      <w:marRight w:val="0"/>
      <w:marTop w:val="0"/>
      <w:marBottom w:val="0"/>
      <w:divBdr>
        <w:top w:val="none" w:sz="0" w:space="0" w:color="auto"/>
        <w:left w:val="none" w:sz="0" w:space="0" w:color="auto"/>
        <w:bottom w:val="none" w:sz="0" w:space="0" w:color="auto"/>
        <w:right w:val="none" w:sz="0" w:space="0" w:color="auto"/>
      </w:divBdr>
    </w:div>
    <w:div w:id="1820994698">
      <w:bodyDiv w:val="1"/>
      <w:marLeft w:val="0"/>
      <w:marRight w:val="0"/>
      <w:marTop w:val="0"/>
      <w:marBottom w:val="0"/>
      <w:divBdr>
        <w:top w:val="none" w:sz="0" w:space="0" w:color="auto"/>
        <w:left w:val="none" w:sz="0" w:space="0" w:color="auto"/>
        <w:bottom w:val="none" w:sz="0" w:space="0" w:color="auto"/>
        <w:right w:val="none" w:sz="0" w:space="0" w:color="auto"/>
      </w:divBdr>
    </w:div>
    <w:div w:id="1948196594">
      <w:bodyDiv w:val="1"/>
      <w:marLeft w:val="0"/>
      <w:marRight w:val="0"/>
      <w:marTop w:val="0"/>
      <w:marBottom w:val="0"/>
      <w:divBdr>
        <w:top w:val="none" w:sz="0" w:space="0" w:color="auto"/>
        <w:left w:val="none" w:sz="0" w:space="0" w:color="auto"/>
        <w:bottom w:val="none" w:sz="0" w:space="0" w:color="auto"/>
        <w:right w:val="none" w:sz="0" w:space="0" w:color="auto"/>
      </w:divBdr>
    </w:div>
    <w:div w:id="2027176526">
      <w:bodyDiv w:val="1"/>
      <w:marLeft w:val="0"/>
      <w:marRight w:val="0"/>
      <w:marTop w:val="0"/>
      <w:marBottom w:val="0"/>
      <w:divBdr>
        <w:top w:val="none" w:sz="0" w:space="0" w:color="auto"/>
        <w:left w:val="none" w:sz="0" w:space="0" w:color="auto"/>
        <w:bottom w:val="none" w:sz="0" w:space="0" w:color="auto"/>
        <w:right w:val="none" w:sz="0" w:space="0" w:color="auto"/>
      </w:divBdr>
    </w:div>
    <w:div w:id="2081824898">
      <w:bodyDiv w:val="1"/>
      <w:marLeft w:val="0"/>
      <w:marRight w:val="0"/>
      <w:marTop w:val="0"/>
      <w:marBottom w:val="0"/>
      <w:divBdr>
        <w:top w:val="none" w:sz="0" w:space="0" w:color="auto"/>
        <w:left w:val="none" w:sz="0" w:space="0" w:color="auto"/>
        <w:bottom w:val="none" w:sz="0" w:space="0" w:color="auto"/>
        <w:right w:val="none" w:sz="0" w:space="0" w:color="auto"/>
      </w:divBdr>
    </w:div>
    <w:div w:id="21042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6233</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6233</dc:title>
  <dc:subject>Modifications to Multifamily Security Instrument (Co-Borrowers)</dc:subject>
  <dc:creator>Fannie Mae</dc:creator>
  <cp:keywords/>
  <dc:description/>
  <cp:lastModifiedBy>Riggs, Suzanne M.</cp:lastModifiedBy>
  <cp:revision>5</cp:revision>
  <cp:lastPrinted>2020-01-02T14:38:00Z</cp:lastPrinted>
  <dcterms:created xsi:type="dcterms:W3CDTF">2022-03-08T19:21:00Z</dcterms:created>
  <dcterms:modified xsi:type="dcterms:W3CDTF">2022-03-28T18:16:00Z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gFAAXJDLFUo5N7tdeQ3SOcfgKY8imnfUiNKNL3BzvDrqRzFeovSJGde2PxaP6G/CU8zXL1+MeTTiLXBT
1dA+gaiV+oQLeEQsPdbx75IsSDsmuuGcLKpMWg5Lxp9dlJlD3whlVBKLF4hlPoL5raBcEDzaCB7L
jeejZ0nTOp14JQHZxSwGmZJ3bKmyWq1Zy5LCNRx5Z/9xW51R+DUAisiRvMYIgqff4a7BM6IofNX1
ODs/55tLl4oZ1lg+1</vt:lpwstr>
  </property>
  <property fmtid="{D5CDD505-2E9C-101B-9397-08002B2CF9AE}" pid="3" name="MAIL_MSG_ID2">
    <vt:lpwstr>41lJJ1uLlGYfLla8kO0koPZaa7sTQlyEmdR75hDoicWZLbSWEwxK0QtX7FB
OAMQIiF+wQFJtWbHB3aA0BazCLLdnW2Z7yvLNw==</vt:lpwstr>
  </property>
  <property fmtid="{D5CDD505-2E9C-101B-9397-08002B2CF9AE}" pid="4" name="RESPONSE_SENDER_NAME">
    <vt:lpwstr>sAAA4E8dREqJqIrJEw47eK97rI7ZfuIo7ELr9xW6Wuf3iZ0=</vt:lpwstr>
  </property>
  <property fmtid="{D5CDD505-2E9C-101B-9397-08002B2CF9AE}" pid="5" name="EMAIL_OWNER_ADDRESS">
    <vt:lpwstr>4AAA4Lxe55UJ0C+X/3KbY1itqZMElm42Zao/eEeyN511KHkhyhA7mYu1iw==</vt:lpwstr>
  </property>
  <property fmtid="{D5CDD505-2E9C-101B-9397-08002B2CF9AE}" pid="6" name="YCFooter">
    <vt:lpwstr>18605618-v6</vt:lpwstr>
  </property>
  <property fmtid="{D5CDD505-2E9C-101B-9397-08002B2CF9AE}" pid="7" name="HasFax">
    <vt:lpwstr>True</vt:lpwstr>
  </property>
</Properties>
</file>