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A36D7" w14:textId="77777777" w:rsidR="009D15CD" w:rsidRPr="00D73180" w:rsidRDefault="009D15CD" w:rsidP="007C0FBB">
      <w:pPr>
        <w:tabs>
          <w:tab w:val="center" w:pos="4680"/>
        </w:tabs>
        <w:suppressAutoHyphens/>
        <w:spacing w:after="240"/>
        <w:jc w:val="center"/>
        <w:rPr>
          <w:b/>
          <w:sz w:val="24"/>
          <w:szCs w:val="24"/>
        </w:rPr>
      </w:pPr>
      <w:r w:rsidRPr="00D73180">
        <w:rPr>
          <w:b/>
          <w:sz w:val="24"/>
          <w:szCs w:val="24"/>
        </w:rPr>
        <w:t>EXHIBIT [___]</w:t>
      </w:r>
    </w:p>
    <w:p w14:paraId="3FE6B2A4" w14:textId="77777777" w:rsidR="00737A1D" w:rsidRPr="00D73180" w:rsidRDefault="00737A1D" w:rsidP="007C0FBB">
      <w:pPr>
        <w:tabs>
          <w:tab w:val="center" w:pos="4680"/>
        </w:tabs>
        <w:suppressAutoHyphens/>
        <w:jc w:val="center"/>
        <w:rPr>
          <w:sz w:val="24"/>
          <w:szCs w:val="24"/>
        </w:rPr>
      </w:pPr>
      <w:r w:rsidRPr="00D73180">
        <w:rPr>
          <w:b/>
          <w:sz w:val="24"/>
          <w:szCs w:val="24"/>
        </w:rPr>
        <w:t xml:space="preserve">MODIFICATIONS TO </w:t>
      </w:r>
      <w:r w:rsidR="00E36E43" w:rsidRPr="00D73180">
        <w:rPr>
          <w:b/>
          <w:sz w:val="24"/>
          <w:szCs w:val="24"/>
        </w:rPr>
        <w:t xml:space="preserve">SECURITY </w:t>
      </w:r>
      <w:r w:rsidRPr="00D73180">
        <w:rPr>
          <w:b/>
          <w:sz w:val="24"/>
          <w:szCs w:val="24"/>
        </w:rPr>
        <w:t>INSTRUMENT</w:t>
      </w:r>
    </w:p>
    <w:p w14:paraId="106023EF" w14:textId="77777777" w:rsidR="00737A1D" w:rsidRPr="00D73180" w:rsidRDefault="00737A1D" w:rsidP="007C0FBB">
      <w:pPr>
        <w:tabs>
          <w:tab w:val="center" w:pos="4680"/>
        </w:tabs>
        <w:suppressAutoHyphens/>
        <w:spacing w:after="360"/>
        <w:jc w:val="center"/>
        <w:rPr>
          <w:sz w:val="24"/>
          <w:szCs w:val="24"/>
        </w:rPr>
      </w:pPr>
      <w:r w:rsidRPr="00D73180">
        <w:rPr>
          <w:b/>
          <w:sz w:val="24"/>
          <w:szCs w:val="24"/>
        </w:rPr>
        <w:t>(Tax Credit Properties)</w:t>
      </w:r>
    </w:p>
    <w:p w14:paraId="29A82B3A" w14:textId="77777777" w:rsidR="0004057C" w:rsidRPr="00D73180" w:rsidRDefault="0004057C" w:rsidP="0004057C">
      <w:pPr>
        <w:widowControl/>
        <w:spacing w:after="240"/>
        <w:ind w:firstLine="600"/>
        <w:jc w:val="both"/>
        <w:rPr>
          <w:sz w:val="24"/>
        </w:rPr>
      </w:pPr>
      <w:r>
        <w:rPr>
          <w:sz w:val="24"/>
        </w:rPr>
        <w:t>The foregoing Security Instrument is hereby modified as follows:</w:t>
      </w:r>
    </w:p>
    <w:p w14:paraId="338F2291" w14:textId="77777777" w:rsidR="0004057C" w:rsidRPr="00D73180" w:rsidRDefault="0004057C" w:rsidP="0004057C">
      <w:pPr>
        <w:widowControl/>
        <w:numPr>
          <w:ilvl w:val="0"/>
          <w:numId w:val="1"/>
        </w:numPr>
        <w:tabs>
          <w:tab w:val="clear" w:pos="1440"/>
        </w:tabs>
        <w:suppressAutoHyphens/>
        <w:spacing w:after="240"/>
        <w:jc w:val="both"/>
        <w:rPr>
          <w:sz w:val="24"/>
        </w:rPr>
      </w:pPr>
      <w:r>
        <w:rPr>
          <w:sz w:val="24"/>
        </w:rPr>
        <w:t>Capitalized terms used and not specifically defined herein have the meanings given to such terms in the Security Instrument.</w:t>
      </w:r>
    </w:p>
    <w:p w14:paraId="152DEDFE" w14:textId="77777777" w:rsidR="0004057C" w:rsidRPr="00D73180" w:rsidRDefault="0004057C" w:rsidP="0004057C">
      <w:pPr>
        <w:widowControl/>
        <w:numPr>
          <w:ilvl w:val="0"/>
          <w:numId w:val="1"/>
        </w:numPr>
        <w:suppressAutoHyphens/>
        <w:spacing w:after="240"/>
        <w:jc w:val="both"/>
        <w:rPr>
          <w:sz w:val="24"/>
        </w:rPr>
      </w:pPr>
      <w:r>
        <w:rPr>
          <w:sz w:val="24"/>
        </w:rPr>
        <w:t>Section 1 of the Security Instrument (Defined Terms) is hereby amended by adding the following new definition in the appropriate alphabetical order:</w:t>
      </w:r>
    </w:p>
    <w:p w14:paraId="1E0FF088" w14:textId="77777777" w:rsidR="0004057C" w:rsidRPr="002E1A3B" w:rsidRDefault="0004057C" w:rsidP="0004057C">
      <w:pPr>
        <w:tabs>
          <w:tab w:val="left" w:pos="0"/>
        </w:tabs>
        <w:suppressAutoHyphens/>
        <w:spacing w:after="240"/>
        <w:ind w:left="720" w:right="760"/>
        <w:jc w:val="both"/>
        <w:rPr>
          <w:sz w:val="24"/>
          <w:szCs w:val="24"/>
        </w:rPr>
      </w:pPr>
      <w:r>
        <w:rPr>
          <w:sz w:val="24"/>
          <w:szCs w:val="24"/>
        </w:rPr>
        <w:t>“</w:t>
      </w:r>
      <w:r>
        <w:rPr>
          <w:b/>
          <w:sz w:val="24"/>
          <w:szCs w:val="24"/>
        </w:rPr>
        <w:t>Extended Use Agreement</w:t>
      </w:r>
      <w:r>
        <w:rPr>
          <w:sz w:val="24"/>
          <w:szCs w:val="24"/>
        </w:rPr>
        <w:t xml:space="preserve">” means together (A) any extended low-income housing commitment (as such term is defined in Section 42(h)(6)(B) of the Internal Revenue Code) recorded against the Mortgaged Property either prior to or after the Effective Date, and (B) if applicable, any additional or replacement </w:t>
      </w:r>
      <w:r w:rsidRPr="00364192">
        <w:rPr>
          <w:sz w:val="24"/>
          <w:szCs w:val="24"/>
        </w:rPr>
        <w:t>extended low-income housing commitment recorded against the Mortgaged Property on or after the Effective Date</w:t>
      </w:r>
      <w:r>
        <w:rPr>
          <w:sz w:val="24"/>
          <w:szCs w:val="24"/>
        </w:rPr>
        <w:t>, any of which shall be subject to Lender’s prior written consent.</w:t>
      </w:r>
    </w:p>
    <w:p w14:paraId="648B6147" w14:textId="7EC8C3CB" w:rsidR="0004057C" w:rsidRPr="002E1A3B" w:rsidRDefault="0004057C" w:rsidP="0004057C">
      <w:pPr>
        <w:numPr>
          <w:ilvl w:val="0"/>
          <w:numId w:val="1"/>
        </w:numPr>
        <w:tabs>
          <w:tab w:val="left" w:pos="0"/>
        </w:tabs>
        <w:suppressAutoHyphens/>
        <w:spacing w:after="240"/>
        <w:jc w:val="both"/>
        <w:rPr>
          <w:sz w:val="24"/>
          <w:szCs w:val="24"/>
        </w:rPr>
      </w:pPr>
      <w:r>
        <w:rPr>
          <w:sz w:val="24"/>
          <w:szCs w:val="24"/>
        </w:rPr>
        <w:t>The following section</w:t>
      </w:r>
      <w:r w:rsidR="00106143">
        <w:rPr>
          <w:sz w:val="24"/>
          <w:szCs w:val="24"/>
        </w:rPr>
        <w:t xml:space="preserve"> i</w:t>
      </w:r>
      <w:r>
        <w:rPr>
          <w:sz w:val="24"/>
          <w:szCs w:val="24"/>
        </w:rPr>
        <w:t>s hereby added to the Security Instrument as Section [___]:</w:t>
      </w:r>
    </w:p>
    <w:p w14:paraId="521FD2C2" w14:textId="77777777" w:rsidR="0004057C" w:rsidRPr="00D73180" w:rsidRDefault="0004057C" w:rsidP="0004057C">
      <w:pPr>
        <w:keepNext/>
        <w:tabs>
          <w:tab w:val="left" w:pos="0"/>
        </w:tabs>
        <w:suppressAutoHyphens/>
        <w:spacing w:after="240"/>
        <w:ind w:left="720" w:right="720" w:hanging="20"/>
        <w:jc w:val="both"/>
        <w:rPr>
          <w:sz w:val="24"/>
          <w:szCs w:val="24"/>
        </w:rPr>
      </w:pPr>
      <w:r>
        <w:rPr>
          <w:b/>
          <w:sz w:val="24"/>
          <w:szCs w:val="24"/>
        </w:rPr>
        <w:t>[__].</w:t>
      </w:r>
      <w:r>
        <w:rPr>
          <w:b/>
          <w:sz w:val="24"/>
          <w:szCs w:val="24"/>
        </w:rPr>
        <w:tab/>
        <w:t>Cross-Default.</w:t>
      </w:r>
    </w:p>
    <w:p w14:paraId="29E540E2" w14:textId="77777777" w:rsidR="0004057C" w:rsidRDefault="0004057C" w:rsidP="0004057C">
      <w:pPr>
        <w:keepNext/>
        <w:suppressAutoHyphens/>
        <w:spacing w:after="360"/>
        <w:ind w:left="720" w:right="720" w:firstLine="720"/>
        <w:jc w:val="both"/>
        <w:rPr>
          <w:sz w:val="24"/>
          <w:szCs w:val="24"/>
        </w:rPr>
      </w:pPr>
      <w:r>
        <w:rPr>
          <w:sz w:val="24"/>
          <w:szCs w:val="24"/>
        </w:rPr>
        <w:t>Borrower acknowledges and agrees that any default, event of default, or breach (however such terms may be defined) after the expiration of any applicable notice and/or cure periods under the Extended Use Agreement shall be an Event of Default under this Security Instrument and the Loan Documents and that any costs, damages or other amounts, including reasonable attorney’s fees incurred by the Lender as a result of such an Event of Default by Borrower, including amounts paid to cure any default or event of default, under the Extended Use Agreement shall be an obligation of Borrower and become a part of the Indebtedness secured by this Security Instrument and the Loan Agreement.</w:t>
      </w:r>
    </w:p>
    <w:p w14:paraId="414E86C0" w14:textId="77777777" w:rsidR="007D2D69" w:rsidRPr="007D2D69" w:rsidRDefault="007D2D69" w:rsidP="002E1A3B">
      <w:pPr>
        <w:suppressAutoHyphens/>
        <w:ind w:left="720" w:right="720"/>
        <w:jc w:val="center"/>
        <w:rPr>
          <w:b/>
          <w:bCs/>
          <w:sz w:val="24"/>
        </w:rPr>
      </w:pPr>
      <w:r>
        <w:rPr>
          <w:b/>
          <w:bCs/>
          <w:sz w:val="24"/>
          <w:szCs w:val="24"/>
        </w:rPr>
        <w:t>[Remainder of Page Intentionally Blank]</w:t>
      </w:r>
    </w:p>
    <w:sectPr w:rsidR="007D2D69" w:rsidRPr="007D2D69" w:rsidSect="009F7197">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342D" w14:textId="77777777" w:rsidR="00C711A6" w:rsidRDefault="00C711A6">
      <w:pPr>
        <w:spacing w:line="20" w:lineRule="exact"/>
        <w:rPr>
          <w:sz w:val="24"/>
        </w:rPr>
      </w:pPr>
    </w:p>
  </w:endnote>
  <w:endnote w:type="continuationSeparator" w:id="0">
    <w:p w14:paraId="34C0FFCC" w14:textId="77777777" w:rsidR="00C711A6" w:rsidRDefault="00C711A6">
      <w:r>
        <w:rPr>
          <w:sz w:val="24"/>
        </w:rPr>
        <w:t xml:space="preserve"> </w:t>
      </w:r>
    </w:p>
  </w:endnote>
  <w:endnote w:type="continuationNotice" w:id="1">
    <w:p w14:paraId="1439F6BD" w14:textId="77777777" w:rsidR="00C711A6" w:rsidRDefault="00C711A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5822" w14:textId="7F725DDF" w:rsidR="00AA5B35" w:rsidRDefault="00AA5B35">
    <w:pPr>
      <w:pStyle w:val="Footer"/>
    </w:pPr>
    <w:r>
      <w:rPr>
        <w:noProof/>
      </w:rPr>
      <mc:AlternateContent>
        <mc:Choice Requires="wps">
          <w:drawing>
            <wp:anchor distT="0" distB="0" distL="0" distR="0" simplePos="0" relativeHeight="251659264" behindDoc="0" locked="0" layoutInCell="1" allowOverlap="1" wp14:anchorId="61882C1F" wp14:editId="0DFFEA5D">
              <wp:simplePos x="635" y="635"/>
              <wp:positionH relativeFrom="page">
                <wp:align>left</wp:align>
              </wp:positionH>
              <wp:positionV relativeFrom="page">
                <wp:align>bottom</wp:align>
              </wp:positionV>
              <wp:extent cx="1517015" cy="345440"/>
              <wp:effectExtent l="0" t="0" r="6985" b="0"/>
              <wp:wrapNone/>
              <wp:docPr id="215903401"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4E0ACCAA" w14:textId="0F5A8508" w:rsidR="00AA5B35" w:rsidRPr="00AA5B35" w:rsidRDefault="00AA5B35" w:rsidP="00AA5B35">
                          <w:pPr>
                            <w:rPr>
                              <w:rFonts w:ascii="Calibri" w:eastAsia="Calibri" w:hAnsi="Calibri" w:cs="Calibri"/>
                              <w:noProof/>
                              <w:color w:val="000000"/>
                            </w:rPr>
                          </w:pPr>
                          <w:r w:rsidRPr="00AA5B35">
                            <w:rPr>
                              <w:rFonts w:ascii="Calibri" w:eastAsia="Calibri" w:hAnsi="Calibri" w:cs="Calibri"/>
                              <w:noProof/>
                              <w:color w:val="00000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882C1F" id="_x0000_t202" coordsize="21600,21600" o:spt="202" path="m,l,21600r21600,l21600,xe">
              <v:stroke joinstyle="miter"/>
              <v:path gradientshapeok="t" o:connecttype="rect"/>
            </v:shapetype>
            <v:shape id="Text Box 2" o:spid="_x0000_s1026" type="#_x0000_t202" alt="Fannie Mae Confidential" style="position:absolute;margin-left:0;margin-top:0;width:11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" filled="f" stroked="f">
              <v:textbox style="mso-fit-shape-to-text:t" inset="20pt,0,0,15pt">
                <w:txbxContent>
                  <w:p w14:paraId="4E0ACCAA" w14:textId="0F5A8508" w:rsidR="00AA5B35" w:rsidRPr="00AA5B35" w:rsidRDefault="00AA5B35" w:rsidP="00AA5B35">
                    <w:pPr>
                      <w:rPr>
                        <w:rFonts w:ascii="Calibri" w:eastAsia="Calibri" w:hAnsi="Calibri" w:cs="Calibri"/>
                        <w:noProof/>
                        <w:color w:val="000000"/>
                      </w:rPr>
                    </w:pPr>
                    <w:r w:rsidRPr="00AA5B35">
                      <w:rPr>
                        <w:rFonts w:ascii="Calibri" w:eastAsia="Calibri" w:hAnsi="Calibri" w:cs="Calibri"/>
                        <w:noProof/>
                        <w:color w:val="00000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12FA" w14:textId="77777777" w:rsidR="002E1A3B" w:rsidRDefault="002E1A3B" w:rsidP="002E1A3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5F5F" w14:textId="7F4E4464" w:rsidR="00C25F92" w:rsidRDefault="00C25F92" w:rsidP="00E36E43"/>
  <w:tbl>
    <w:tblPr>
      <w:tblW w:w="9600" w:type="dxa"/>
      <w:tblLook w:val="01E0" w:firstRow="1" w:lastRow="1" w:firstColumn="1" w:lastColumn="1" w:noHBand="0" w:noVBand="0"/>
    </w:tblPr>
    <w:tblGrid>
      <w:gridCol w:w="3948"/>
      <w:gridCol w:w="2460"/>
      <w:gridCol w:w="3192"/>
    </w:tblGrid>
    <w:tr w:rsidR="00C25F92" w14:paraId="63B90157" w14:textId="77777777" w:rsidTr="00556775">
      <w:tc>
        <w:tcPr>
          <w:tcW w:w="3948" w:type="dxa"/>
          <w:shd w:val="clear" w:color="auto" w:fill="auto"/>
          <w:vAlign w:val="bottom"/>
        </w:tcPr>
        <w:p w14:paraId="1CE27876" w14:textId="77777777" w:rsidR="00C25F92" w:rsidRPr="00556775" w:rsidRDefault="00C25F92" w:rsidP="00E36E43">
          <w:pPr>
            <w:pStyle w:val="Footer"/>
            <w:rPr>
              <w:b/>
            </w:rPr>
          </w:pPr>
          <w:r w:rsidRPr="00556775">
            <w:rPr>
              <w:b/>
            </w:rPr>
            <w:t>Modifications to Security Instrument (Tax Credit Properties)</w:t>
          </w:r>
        </w:p>
      </w:tc>
      <w:tc>
        <w:tcPr>
          <w:tcW w:w="2460" w:type="dxa"/>
          <w:shd w:val="clear" w:color="auto" w:fill="auto"/>
          <w:vAlign w:val="bottom"/>
        </w:tcPr>
        <w:p w14:paraId="3733FC24" w14:textId="77777777" w:rsidR="00C25F92" w:rsidRPr="00556775" w:rsidRDefault="00C25F92" w:rsidP="00556775">
          <w:pPr>
            <w:pStyle w:val="Footer"/>
            <w:jc w:val="center"/>
            <w:rPr>
              <w:b/>
            </w:rPr>
          </w:pPr>
          <w:r w:rsidRPr="00556775">
            <w:rPr>
              <w:b/>
            </w:rPr>
            <w:t>Form 6315</w:t>
          </w:r>
        </w:p>
      </w:tc>
      <w:tc>
        <w:tcPr>
          <w:tcW w:w="3192" w:type="dxa"/>
          <w:shd w:val="clear" w:color="auto" w:fill="auto"/>
          <w:vAlign w:val="bottom"/>
        </w:tcPr>
        <w:p w14:paraId="605CD089" w14:textId="77777777" w:rsidR="00C25F92" w:rsidRPr="00556775" w:rsidRDefault="00C25F92" w:rsidP="00556775">
          <w:pPr>
            <w:pStyle w:val="Footer"/>
            <w:jc w:val="right"/>
            <w:rPr>
              <w:b/>
            </w:rPr>
          </w:pPr>
          <w:r w:rsidRPr="00556775">
            <w:rPr>
              <w:b/>
            </w:rPr>
            <w:t xml:space="preserve">Page </w:t>
          </w:r>
          <w:r w:rsidRPr="00556775">
            <w:rPr>
              <w:rStyle w:val="PageNumber"/>
              <w:b/>
            </w:rPr>
            <w:fldChar w:fldCharType="begin"/>
          </w:r>
          <w:r w:rsidRPr="00556775">
            <w:rPr>
              <w:rStyle w:val="PageNumber"/>
              <w:b/>
            </w:rPr>
            <w:instrText xml:space="preserve"> PAGE </w:instrText>
          </w:r>
          <w:r w:rsidRPr="00556775">
            <w:rPr>
              <w:rStyle w:val="PageNumber"/>
              <w:b/>
            </w:rPr>
            <w:fldChar w:fldCharType="separate"/>
          </w:r>
          <w:r w:rsidR="00532408" w:rsidRPr="00556775">
            <w:rPr>
              <w:rStyle w:val="PageNumber"/>
              <w:b/>
              <w:noProof/>
            </w:rPr>
            <w:t>1</w:t>
          </w:r>
          <w:r w:rsidRPr="00556775">
            <w:rPr>
              <w:rStyle w:val="PageNumber"/>
              <w:b/>
            </w:rPr>
            <w:fldChar w:fldCharType="end"/>
          </w:r>
        </w:p>
      </w:tc>
    </w:tr>
    <w:tr w:rsidR="00C25F92" w14:paraId="04F7FEB3" w14:textId="77777777" w:rsidTr="00556775">
      <w:tc>
        <w:tcPr>
          <w:tcW w:w="3948" w:type="dxa"/>
          <w:shd w:val="clear" w:color="auto" w:fill="auto"/>
          <w:vAlign w:val="bottom"/>
        </w:tcPr>
        <w:p w14:paraId="4B75642F" w14:textId="77777777" w:rsidR="00C25F92" w:rsidRPr="00556775" w:rsidRDefault="00C25F92" w:rsidP="00E36E43">
          <w:pPr>
            <w:pStyle w:val="Footer"/>
            <w:rPr>
              <w:b/>
            </w:rPr>
          </w:pPr>
          <w:r w:rsidRPr="00556775">
            <w:rPr>
              <w:b/>
            </w:rPr>
            <w:t>Fannie Mae</w:t>
          </w:r>
        </w:p>
      </w:tc>
      <w:tc>
        <w:tcPr>
          <w:tcW w:w="2460" w:type="dxa"/>
          <w:shd w:val="clear" w:color="auto" w:fill="auto"/>
          <w:vAlign w:val="bottom"/>
        </w:tcPr>
        <w:p w14:paraId="71914965" w14:textId="531BAA9B" w:rsidR="00C25F92" w:rsidRPr="00556775" w:rsidRDefault="006039CB" w:rsidP="00556775">
          <w:pPr>
            <w:pStyle w:val="Footer"/>
            <w:jc w:val="center"/>
            <w:rPr>
              <w:b/>
            </w:rPr>
          </w:pPr>
          <w:r>
            <w:rPr>
              <w:b/>
            </w:rPr>
            <w:t>06-26</w:t>
          </w:r>
        </w:p>
      </w:tc>
      <w:tc>
        <w:tcPr>
          <w:tcW w:w="3192" w:type="dxa"/>
          <w:shd w:val="clear" w:color="auto" w:fill="auto"/>
          <w:vAlign w:val="bottom"/>
        </w:tcPr>
        <w:p w14:paraId="6DB99E3A" w14:textId="41C2DBF2" w:rsidR="00C25F92" w:rsidRPr="00556775" w:rsidRDefault="00C25F92" w:rsidP="00556775">
          <w:pPr>
            <w:pStyle w:val="Footer"/>
            <w:jc w:val="right"/>
            <w:rPr>
              <w:b/>
            </w:rPr>
          </w:pPr>
          <w:r w:rsidRPr="00556775">
            <w:rPr>
              <w:b/>
            </w:rPr>
            <w:t>© 20</w:t>
          </w:r>
          <w:r w:rsidR="007D2D69">
            <w:rPr>
              <w:b/>
            </w:rPr>
            <w:t>2</w:t>
          </w:r>
          <w:r w:rsidR="006039CB">
            <w:rPr>
              <w:b/>
            </w:rPr>
            <w:t>6</w:t>
          </w:r>
          <w:r w:rsidRPr="00556775">
            <w:rPr>
              <w:b/>
            </w:rPr>
            <w:t xml:space="preserve"> Fannie Mae</w:t>
          </w:r>
        </w:p>
      </w:tc>
    </w:tr>
  </w:tbl>
  <w:p w14:paraId="38F2D499" w14:textId="77777777" w:rsidR="00C25F92" w:rsidRPr="00076A75" w:rsidRDefault="00C25F92" w:rsidP="00E36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319E3" w14:textId="77777777" w:rsidR="00C711A6" w:rsidRDefault="00C711A6">
      <w:r>
        <w:rPr>
          <w:sz w:val="24"/>
        </w:rPr>
        <w:separator/>
      </w:r>
    </w:p>
  </w:footnote>
  <w:footnote w:type="continuationSeparator" w:id="0">
    <w:p w14:paraId="3790827C" w14:textId="77777777" w:rsidR="00C711A6" w:rsidRDefault="00C71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AF90" w14:textId="77777777" w:rsidR="00AB00FE" w:rsidRDefault="00AB0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BB87" w14:textId="51290FA9" w:rsidR="00C25F92" w:rsidRPr="002E1A3B" w:rsidRDefault="00C25F92" w:rsidP="009D15CD">
    <w:pPr>
      <w:tabs>
        <w:tab w:val="center" w:pos="4680"/>
      </w:tabs>
      <w:suppressAutoHyphens/>
      <w:jc w:val="both"/>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FE9E" w14:textId="77777777" w:rsidR="00AB00FE" w:rsidRDefault="00AB0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F583B"/>
    <w:multiLevelType w:val="hybridMultilevel"/>
    <w:tmpl w:val="195679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C61356E"/>
    <w:multiLevelType w:val="hybridMultilevel"/>
    <w:tmpl w:val="0E263072"/>
    <w:lvl w:ilvl="0" w:tplc="E66C4E28">
      <w:start w:val="1"/>
      <w:numFmt w:val="decimal"/>
      <w:lvlText w:val="%1."/>
      <w:lvlJc w:val="left"/>
      <w:pPr>
        <w:ind w:left="1020" w:hanging="360"/>
      </w:pPr>
    </w:lvl>
    <w:lvl w:ilvl="1" w:tplc="D988B0FC">
      <w:start w:val="1"/>
      <w:numFmt w:val="decimal"/>
      <w:lvlText w:val="%2."/>
      <w:lvlJc w:val="left"/>
      <w:pPr>
        <w:ind w:left="1020" w:hanging="360"/>
      </w:pPr>
    </w:lvl>
    <w:lvl w:ilvl="2" w:tplc="5C64C936">
      <w:start w:val="1"/>
      <w:numFmt w:val="decimal"/>
      <w:lvlText w:val="%3."/>
      <w:lvlJc w:val="left"/>
      <w:pPr>
        <w:ind w:left="1020" w:hanging="360"/>
      </w:pPr>
    </w:lvl>
    <w:lvl w:ilvl="3" w:tplc="9C26E35A">
      <w:start w:val="1"/>
      <w:numFmt w:val="decimal"/>
      <w:lvlText w:val="%4."/>
      <w:lvlJc w:val="left"/>
      <w:pPr>
        <w:ind w:left="1020" w:hanging="360"/>
      </w:pPr>
    </w:lvl>
    <w:lvl w:ilvl="4" w:tplc="72580680">
      <w:start w:val="1"/>
      <w:numFmt w:val="decimal"/>
      <w:lvlText w:val="%5."/>
      <w:lvlJc w:val="left"/>
      <w:pPr>
        <w:ind w:left="1020" w:hanging="360"/>
      </w:pPr>
    </w:lvl>
    <w:lvl w:ilvl="5" w:tplc="A95238B0">
      <w:start w:val="1"/>
      <w:numFmt w:val="decimal"/>
      <w:lvlText w:val="%6."/>
      <w:lvlJc w:val="left"/>
      <w:pPr>
        <w:ind w:left="1020" w:hanging="360"/>
      </w:pPr>
    </w:lvl>
    <w:lvl w:ilvl="6" w:tplc="46E88934">
      <w:start w:val="1"/>
      <w:numFmt w:val="decimal"/>
      <w:lvlText w:val="%7."/>
      <w:lvlJc w:val="left"/>
      <w:pPr>
        <w:ind w:left="1020" w:hanging="360"/>
      </w:pPr>
    </w:lvl>
    <w:lvl w:ilvl="7" w:tplc="F9FCC7C8">
      <w:start w:val="1"/>
      <w:numFmt w:val="decimal"/>
      <w:lvlText w:val="%8."/>
      <w:lvlJc w:val="left"/>
      <w:pPr>
        <w:ind w:left="1020" w:hanging="360"/>
      </w:pPr>
    </w:lvl>
    <w:lvl w:ilvl="8" w:tplc="BBA4355A">
      <w:start w:val="1"/>
      <w:numFmt w:val="decimal"/>
      <w:lvlText w:val="%9."/>
      <w:lvlJc w:val="left"/>
      <w:pPr>
        <w:ind w:left="1020" w:hanging="360"/>
      </w:pPr>
    </w:lvl>
  </w:abstractNum>
  <w:abstractNum w:abstractNumId="2" w15:restartNumberingAfterBreak="0">
    <w:nsid w:val="3FFE2D83"/>
    <w:multiLevelType w:val="hybridMultilevel"/>
    <w:tmpl w:val="92C4F0DE"/>
    <w:lvl w:ilvl="0" w:tplc="1D5EFD02">
      <w:start w:val="1"/>
      <w:numFmt w:val="decimal"/>
      <w:lvlText w:val="%1."/>
      <w:lvlJc w:val="left"/>
      <w:pPr>
        <w:ind w:left="1020" w:hanging="360"/>
      </w:pPr>
    </w:lvl>
    <w:lvl w:ilvl="1" w:tplc="E9BED5C8">
      <w:start w:val="1"/>
      <w:numFmt w:val="decimal"/>
      <w:lvlText w:val="%2."/>
      <w:lvlJc w:val="left"/>
      <w:pPr>
        <w:ind w:left="1020" w:hanging="360"/>
      </w:pPr>
    </w:lvl>
    <w:lvl w:ilvl="2" w:tplc="D908A54E">
      <w:start w:val="1"/>
      <w:numFmt w:val="decimal"/>
      <w:lvlText w:val="%3."/>
      <w:lvlJc w:val="left"/>
      <w:pPr>
        <w:ind w:left="1020" w:hanging="360"/>
      </w:pPr>
    </w:lvl>
    <w:lvl w:ilvl="3" w:tplc="0B8E960C">
      <w:start w:val="1"/>
      <w:numFmt w:val="decimal"/>
      <w:lvlText w:val="%4."/>
      <w:lvlJc w:val="left"/>
      <w:pPr>
        <w:ind w:left="1020" w:hanging="360"/>
      </w:pPr>
    </w:lvl>
    <w:lvl w:ilvl="4" w:tplc="EDF8FB1C">
      <w:start w:val="1"/>
      <w:numFmt w:val="decimal"/>
      <w:lvlText w:val="%5."/>
      <w:lvlJc w:val="left"/>
      <w:pPr>
        <w:ind w:left="1020" w:hanging="360"/>
      </w:pPr>
    </w:lvl>
    <w:lvl w:ilvl="5" w:tplc="16ECE1A0">
      <w:start w:val="1"/>
      <w:numFmt w:val="decimal"/>
      <w:lvlText w:val="%6."/>
      <w:lvlJc w:val="left"/>
      <w:pPr>
        <w:ind w:left="1020" w:hanging="360"/>
      </w:pPr>
    </w:lvl>
    <w:lvl w:ilvl="6" w:tplc="75D4EB54">
      <w:start w:val="1"/>
      <w:numFmt w:val="decimal"/>
      <w:lvlText w:val="%7."/>
      <w:lvlJc w:val="left"/>
      <w:pPr>
        <w:ind w:left="1020" w:hanging="360"/>
      </w:pPr>
    </w:lvl>
    <w:lvl w:ilvl="7" w:tplc="88548018">
      <w:start w:val="1"/>
      <w:numFmt w:val="decimal"/>
      <w:lvlText w:val="%8."/>
      <w:lvlJc w:val="left"/>
      <w:pPr>
        <w:ind w:left="1020" w:hanging="360"/>
      </w:pPr>
    </w:lvl>
    <w:lvl w:ilvl="8" w:tplc="A75AC006">
      <w:start w:val="1"/>
      <w:numFmt w:val="decimal"/>
      <w:lvlText w:val="%9."/>
      <w:lvlJc w:val="left"/>
      <w:pPr>
        <w:ind w:left="1020" w:hanging="360"/>
      </w:pPr>
    </w:lvl>
  </w:abstractNum>
  <w:abstractNum w:abstractNumId="3" w15:restartNumberingAfterBreak="0">
    <w:nsid w:val="624963D3"/>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num w:numId="1" w16cid:durableId="2060933436">
    <w:abstractNumId w:val="3"/>
  </w:num>
  <w:num w:numId="2" w16cid:durableId="152064290">
    <w:abstractNumId w:val="0"/>
  </w:num>
  <w:num w:numId="3" w16cid:durableId="697320529">
    <w:abstractNumId w:val="2"/>
  </w:num>
  <w:num w:numId="4" w16cid:durableId="534582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1D"/>
    <w:rsid w:val="0004057C"/>
    <w:rsid w:val="00060C0E"/>
    <w:rsid w:val="00073B5A"/>
    <w:rsid w:val="00076A75"/>
    <w:rsid w:val="00097FB6"/>
    <w:rsid w:val="000B0EF5"/>
    <w:rsid w:val="000E0A43"/>
    <w:rsid w:val="00106143"/>
    <w:rsid w:val="001101C3"/>
    <w:rsid w:val="00117469"/>
    <w:rsid w:val="00157838"/>
    <w:rsid w:val="001B12CD"/>
    <w:rsid w:val="001B4824"/>
    <w:rsid w:val="00230A21"/>
    <w:rsid w:val="002A3D66"/>
    <w:rsid w:val="002E1A3B"/>
    <w:rsid w:val="003322C5"/>
    <w:rsid w:val="00336902"/>
    <w:rsid w:val="003F7B95"/>
    <w:rsid w:val="0040418E"/>
    <w:rsid w:val="00422E0A"/>
    <w:rsid w:val="004953BF"/>
    <w:rsid w:val="004B5BB4"/>
    <w:rsid w:val="005201DA"/>
    <w:rsid w:val="00532408"/>
    <w:rsid w:val="0053523F"/>
    <w:rsid w:val="00556775"/>
    <w:rsid w:val="00562036"/>
    <w:rsid w:val="005D07A7"/>
    <w:rsid w:val="005E0F45"/>
    <w:rsid w:val="005E1D7F"/>
    <w:rsid w:val="005F40AD"/>
    <w:rsid w:val="006039CB"/>
    <w:rsid w:val="0060541C"/>
    <w:rsid w:val="006220AA"/>
    <w:rsid w:val="007367FC"/>
    <w:rsid w:val="00737A1D"/>
    <w:rsid w:val="007C0FBB"/>
    <w:rsid w:val="007C40CD"/>
    <w:rsid w:val="007D2D69"/>
    <w:rsid w:val="00814444"/>
    <w:rsid w:val="00826C24"/>
    <w:rsid w:val="00843E2D"/>
    <w:rsid w:val="00854B38"/>
    <w:rsid w:val="008D63C7"/>
    <w:rsid w:val="008F4C83"/>
    <w:rsid w:val="00922204"/>
    <w:rsid w:val="009A0437"/>
    <w:rsid w:val="009D15CD"/>
    <w:rsid w:val="009F7197"/>
    <w:rsid w:val="00A676B8"/>
    <w:rsid w:val="00AA5B35"/>
    <w:rsid w:val="00AB00FE"/>
    <w:rsid w:val="00AC6BC3"/>
    <w:rsid w:val="00AE73DB"/>
    <w:rsid w:val="00B039EB"/>
    <w:rsid w:val="00B451F0"/>
    <w:rsid w:val="00B55996"/>
    <w:rsid w:val="00B91ACB"/>
    <w:rsid w:val="00BB0F8C"/>
    <w:rsid w:val="00C25F92"/>
    <w:rsid w:val="00C32CF3"/>
    <w:rsid w:val="00C36890"/>
    <w:rsid w:val="00C711A6"/>
    <w:rsid w:val="00CA3A7F"/>
    <w:rsid w:val="00CB0EDA"/>
    <w:rsid w:val="00CB578A"/>
    <w:rsid w:val="00D0116E"/>
    <w:rsid w:val="00D2120A"/>
    <w:rsid w:val="00D73180"/>
    <w:rsid w:val="00DC007E"/>
    <w:rsid w:val="00E00D5F"/>
    <w:rsid w:val="00E36E43"/>
    <w:rsid w:val="00E67034"/>
    <w:rsid w:val="00E84AE1"/>
    <w:rsid w:val="00E8711E"/>
    <w:rsid w:val="00EB211A"/>
    <w:rsid w:val="00ED5662"/>
    <w:rsid w:val="00EF30B9"/>
    <w:rsid w:val="00F420A6"/>
    <w:rsid w:val="00F44878"/>
    <w:rsid w:val="00F624DC"/>
    <w:rsid w:val="00F851BE"/>
    <w:rsid w:val="00FB3799"/>
    <w:rsid w:val="00FF2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006DF"/>
  <w15:chartTrackingRefBased/>
  <w15:docId w15:val="{BED6876E-D11F-4674-865D-662184AA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widowControl/>
      <w:tabs>
        <w:tab w:val="left" w:pos="0"/>
        <w:tab w:val="left" w:pos="720"/>
        <w:tab w:val="left" w:pos="1440"/>
      </w:tabs>
      <w:suppressAutoHyphens/>
      <w:ind w:left="2160" w:hanging="2160"/>
      <w:jc w:val="both"/>
    </w:pPr>
    <w:rPr>
      <w:spacing w:val="-2"/>
      <w:sz w:val="22"/>
    </w:rPr>
  </w:style>
  <w:style w:type="table" w:styleId="TableGrid">
    <w:name w:val="Table Grid"/>
    <w:basedOn w:val="TableNormal"/>
    <w:rsid w:val="00E36E4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36E43"/>
  </w:style>
  <w:style w:type="paragraph" w:styleId="Revision">
    <w:name w:val="Revision"/>
    <w:hidden/>
    <w:uiPriority w:val="99"/>
    <w:semiHidden/>
    <w:rsid w:val="00814444"/>
  </w:style>
  <w:style w:type="character" w:styleId="CommentReference">
    <w:name w:val="annotation reference"/>
    <w:basedOn w:val="DefaultParagraphFont"/>
    <w:rsid w:val="00B451F0"/>
    <w:rPr>
      <w:sz w:val="16"/>
      <w:szCs w:val="16"/>
    </w:rPr>
  </w:style>
  <w:style w:type="paragraph" w:styleId="CommentText">
    <w:name w:val="annotation text"/>
    <w:basedOn w:val="Normal"/>
    <w:link w:val="CommentTextChar"/>
    <w:rsid w:val="00B451F0"/>
  </w:style>
  <w:style w:type="character" w:customStyle="1" w:styleId="CommentTextChar">
    <w:name w:val="Comment Text Char"/>
    <w:basedOn w:val="DefaultParagraphFont"/>
    <w:link w:val="CommentText"/>
    <w:rsid w:val="00B451F0"/>
  </w:style>
  <w:style w:type="paragraph" w:styleId="CommentSubject">
    <w:name w:val="annotation subject"/>
    <w:basedOn w:val="CommentText"/>
    <w:next w:val="CommentText"/>
    <w:link w:val="CommentSubjectChar"/>
    <w:rsid w:val="00B451F0"/>
    <w:rPr>
      <w:b/>
      <w:bCs/>
    </w:rPr>
  </w:style>
  <w:style w:type="character" w:customStyle="1" w:styleId="CommentSubjectChar">
    <w:name w:val="Comment Subject Char"/>
    <w:basedOn w:val="CommentTextChar"/>
    <w:link w:val="CommentSubject"/>
    <w:rsid w:val="00B451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265</Words>
  <Characters>1458</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6315</vt:lpstr>
    </vt:vector>
  </TitlesOfParts>
  <Manager/>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6315</dc:title>
  <dc:subject>Modifications to Security Instrument (Tax Credit Properties)</dc:subject>
  <dc:creator>Fannie Mae</dc:creator>
  <cp:keywords> </cp:keywords>
  <dc:description> </dc:description>
  <cp:lastModifiedBy>Sue Riggs</cp:lastModifiedBy>
  <cp:revision>4</cp:revision>
  <cp:lastPrinted>2010-09-10T14:33:00Z</cp:lastPrinted>
  <dcterms:created xsi:type="dcterms:W3CDTF">2026-06-17T17:32:00Z</dcterms:created>
  <dcterms:modified xsi:type="dcterms:W3CDTF">2026-06-17T20:14:00Z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410f3840,cde6ca9,68f5cdb2</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2025-01-03T16:56:16Z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c28ece0b-4e0c-464c-a2ee-a03eff53b754</vt:lpwstr>
  </property>
  <property fmtid="{D5CDD505-2E9C-101B-9397-08002B2CF9AE}" pid="11" name="MSIP_Label_a9455cd2-ef3f-47ad-8dee-f10882ec60d9_ContentBits">
    <vt:lpwstr>2</vt:lpwstr>
  </property>
  <property fmtid="{D5CDD505-2E9C-101B-9397-08002B2CF9AE}" pid="12" name="iManageFooter">
    <vt:lpwstr>56725657-v3</vt:lpwstr>
  </property>
</Properties>
</file>