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0D57F" w14:textId="77777777" w:rsidR="005F2A1F" w:rsidRPr="00390E1F" w:rsidRDefault="00FF08B6" w:rsidP="005F2A1F">
      <w:pPr>
        <w:spacing w:after="240"/>
        <w:jc w:val="center"/>
        <w:rPr>
          <w:b/>
        </w:rPr>
      </w:pPr>
      <w:r w:rsidRPr="00390E1F">
        <w:rPr>
          <w:b/>
        </w:rPr>
        <w:t>EXHIBIT [___]</w:t>
      </w:r>
    </w:p>
    <w:p w14:paraId="382B4D18" w14:textId="77777777" w:rsidR="005F2A1F" w:rsidRDefault="00FF08B6" w:rsidP="005F2A1F">
      <w:pPr>
        <w:suppressAutoHyphens/>
        <w:jc w:val="center"/>
      </w:pPr>
      <w:r>
        <w:rPr>
          <w:b/>
        </w:rPr>
        <w:t>MODIFICATIONS TO MULTIFAMILY LOAN AND SECURITY AGREEMENT</w:t>
      </w:r>
    </w:p>
    <w:p w14:paraId="70395108" w14:textId="77777777" w:rsidR="005F2A1F" w:rsidRDefault="00FF08B6" w:rsidP="005F2A1F">
      <w:pPr>
        <w:suppressAutoHyphens/>
        <w:spacing w:after="360"/>
        <w:jc w:val="center"/>
        <w:rPr>
          <w:b/>
        </w:rPr>
      </w:pPr>
      <w:r>
        <w:rPr>
          <w:b/>
        </w:rPr>
        <w:t>(Healthy Housing Rewards</w:t>
      </w:r>
      <w:bookmarkStart w:id="0" w:name="_Hlk102386729"/>
      <w:r>
        <w:rPr>
          <w:b/>
          <w:vertAlign w:val="superscript"/>
        </w:rPr>
        <w:t>TM</w:t>
      </w:r>
      <w:bookmarkEnd w:id="0"/>
      <w:r w:rsidRPr="005F6F4D">
        <w:rPr>
          <w:b/>
        </w:rPr>
        <w:t xml:space="preserve"> </w:t>
      </w:r>
      <w:r w:rsidRPr="00A85D37">
        <w:rPr>
          <w:rFonts w:ascii="Times New Roman Bold" w:hAnsi="Times New Roman Bold"/>
          <w:b/>
        </w:rPr>
        <w:t>– Enhanced Resident Services</w:t>
      </w:r>
      <w:r>
        <w:rPr>
          <w:b/>
          <w:vertAlign w:val="superscript"/>
        </w:rPr>
        <w:t>TM</w:t>
      </w:r>
      <w:r>
        <w:rPr>
          <w:b/>
        </w:rPr>
        <w:t>)</w:t>
      </w:r>
    </w:p>
    <w:p w14:paraId="61E68C67" w14:textId="77777777" w:rsidR="005F2A1F" w:rsidRPr="00C30396" w:rsidRDefault="00FF08B6" w:rsidP="005F2A1F">
      <w:pPr>
        <w:suppressAutoHyphens/>
        <w:spacing w:after="240"/>
        <w:ind w:firstLine="720"/>
        <w:rPr>
          <w:szCs w:val="24"/>
        </w:rPr>
      </w:pPr>
      <w:r w:rsidRPr="00C30396">
        <w:rPr>
          <w:szCs w:val="24"/>
        </w:rPr>
        <w:t>The foregoing Loan Agreement is hereby modified as follows:</w:t>
      </w:r>
    </w:p>
    <w:p w14:paraId="64A525DB" w14:textId="77777777" w:rsidR="005F2A1F" w:rsidRDefault="00FF08B6" w:rsidP="005F2A1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30396">
        <w:t>Capitalized terms used and not specifically defined herein have the meanings given to such terms in the Loan Agreement.</w:t>
      </w:r>
    </w:p>
    <w:p w14:paraId="2EAA259D" w14:textId="77777777" w:rsidR="005F2A1F" w:rsidRDefault="00FF08B6" w:rsidP="005F2A1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AC7CCE">
        <w:t>The Definitions Schedule is hereby amended by adding the following new definitions in the appropriate alphabetical order:</w:t>
      </w:r>
    </w:p>
    <w:p w14:paraId="29AA025C" w14:textId="0A8E7F88" w:rsidR="005F2A1F" w:rsidRDefault="00FF08B6">
      <w:pPr>
        <w:pStyle w:val="BodyText"/>
        <w:spacing w:after="240"/>
        <w:ind w:left="720" w:right="720"/>
      </w:pPr>
      <w:r>
        <w:t>“</w:t>
      </w:r>
      <w:r w:rsidRPr="00223946">
        <w:rPr>
          <w:b/>
        </w:rPr>
        <w:t xml:space="preserve">Certified </w:t>
      </w:r>
      <w:r>
        <w:rPr>
          <w:b/>
        </w:rPr>
        <w:t>Service Provider</w:t>
      </w:r>
      <w:r>
        <w:t xml:space="preserve">” </w:t>
      </w:r>
      <w:r w:rsidR="00AB0F81">
        <w:t xml:space="preserve">means any </w:t>
      </w:r>
      <w:r w:rsidR="003D592F">
        <w:t>resident service provider that has received a</w:t>
      </w:r>
      <w:r w:rsidR="00C6286F">
        <w:t xml:space="preserve"> CORES Certification</w:t>
      </w:r>
      <w:r w:rsidR="009249A1">
        <w:t>.</w:t>
      </w:r>
    </w:p>
    <w:p w14:paraId="7A294D13" w14:textId="1919850F" w:rsidR="005F2A1F" w:rsidRDefault="00FF08B6" w:rsidP="005F2A1F">
      <w:pPr>
        <w:pStyle w:val="BodyText"/>
        <w:spacing w:after="240"/>
        <w:ind w:left="720" w:right="720"/>
      </w:pPr>
      <w:r>
        <w:t>“</w:t>
      </w:r>
      <w:r w:rsidRPr="00F0652A">
        <w:rPr>
          <w:b/>
          <w:bCs/>
        </w:rPr>
        <w:t>CORES</w:t>
      </w:r>
      <w:r w:rsidRPr="00223946">
        <w:rPr>
          <w:b/>
        </w:rPr>
        <w:t xml:space="preserve"> Certification</w:t>
      </w:r>
      <w:r>
        <w:t xml:space="preserve">” means with respect to Certified Servicer Provider, a certification issued by SAHF confirming that such Person meets the minimum ERS criteria and standards established, maintained, and administered by SAHF for the </w:t>
      </w:r>
      <w:r w:rsidRPr="0041164D">
        <w:t>applicable period, as such criteria or standards may be amended or superseded from time to time.</w:t>
      </w:r>
    </w:p>
    <w:p w14:paraId="1D7EC0F3" w14:textId="77777777" w:rsidR="005F2A1F" w:rsidRPr="006732A5" w:rsidRDefault="00FF08B6" w:rsidP="005F2A1F">
      <w:pPr>
        <w:pStyle w:val="BodyText"/>
        <w:spacing w:after="240"/>
        <w:ind w:left="720" w:right="720"/>
        <w:rPr>
          <w:b/>
        </w:rPr>
      </w:pPr>
      <w:r>
        <w:t>“</w:t>
      </w:r>
      <w:r w:rsidRPr="00223946">
        <w:rPr>
          <w:b/>
        </w:rPr>
        <w:t>ERS</w:t>
      </w:r>
      <w:r>
        <w:t>” means the Fannie Mae Multifamily Affordable Housing program that encourages multifamily affordable borrowers to provide enhanced resident services that promote the health and well-being of tenants.</w:t>
      </w:r>
    </w:p>
    <w:p w14:paraId="22BCE53F" w14:textId="77777777" w:rsidR="005F2A1F" w:rsidRDefault="00FF08B6" w:rsidP="005F2A1F">
      <w:pPr>
        <w:pStyle w:val="BodyText"/>
        <w:spacing w:after="240"/>
        <w:ind w:left="720" w:right="720"/>
      </w:pPr>
      <w:r>
        <w:t>“</w:t>
      </w:r>
      <w:r w:rsidRPr="00223946">
        <w:rPr>
          <w:b/>
        </w:rPr>
        <w:t>ERS Certification</w:t>
      </w:r>
      <w:r>
        <w:t xml:space="preserve">” means with respect to the </w:t>
      </w:r>
      <w:r w:rsidRPr="00F305AC">
        <w:t>Mortgaged</w:t>
      </w:r>
      <w:r>
        <w:t xml:space="preserve"> Property, a certification issued by SAHF confirming that the </w:t>
      </w:r>
      <w:r w:rsidRPr="00F305AC">
        <w:t>Mortgaged</w:t>
      </w:r>
      <w:r>
        <w:t xml:space="preserve"> Property meets the minimum ERS criteria and standards established, maintained, and administered by SAHF for the </w:t>
      </w:r>
      <w:r w:rsidRPr="0041164D">
        <w:t>applicable period, as such criteria or standards may be amended or superseded from time to time.</w:t>
      </w:r>
    </w:p>
    <w:p w14:paraId="2CFEACA6" w14:textId="0FEAE940" w:rsidR="005F2A1F" w:rsidRDefault="00FF08B6" w:rsidP="005F2A1F">
      <w:pPr>
        <w:pStyle w:val="BodyText"/>
        <w:spacing w:after="240"/>
        <w:ind w:left="720" w:right="720"/>
        <w:rPr>
          <w:szCs w:val="24"/>
        </w:rPr>
      </w:pPr>
      <w:r>
        <w:rPr>
          <w:szCs w:val="24"/>
        </w:rPr>
        <w:t>“</w:t>
      </w:r>
      <w:r w:rsidR="003C28DA">
        <w:rPr>
          <w:b/>
          <w:bCs/>
          <w:szCs w:val="24"/>
        </w:rPr>
        <w:t>ERS</w:t>
      </w:r>
      <w:r w:rsidR="009249A1">
        <w:rPr>
          <w:szCs w:val="24"/>
        </w:rPr>
        <w:t xml:space="preserve"> </w:t>
      </w:r>
      <w:r w:rsidRPr="0076293A">
        <w:rPr>
          <w:b/>
          <w:bCs/>
          <w:szCs w:val="24"/>
        </w:rPr>
        <w:t>Pricing Incentive</w:t>
      </w:r>
      <w:r>
        <w:rPr>
          <w:szCs w:val="24"/>
        </w:rPr>
        <w:t xml:space="preserve">” means </w:t>
      </w:r>
      <w:r w:rsidR="00810D07">
        <w:rPr>
          <w:szCs w:val="24"/>
        </w:rPr>
        <w:t xml:space="preserve">a [_____] basis point </w:t>
      </w:r>
      <w:r w:rsidR="008D5C0F">
        <w:rPr>
          <w:szCs w:val="24"/>
        </w:rPr>
        <w:t xml:space="preserve">(___%) </w:t>
      </w:r>
      <w:r w:rsidR="00810D07">
        <w:rPr>
          <w:szCs w:val="24"/>
        </w:rPr>
        <w:t>annual discount off the interest rate of the Mortgage Loan.</w:t>
      </w:r>
    </w:p>
    <w:p w14:paraId="4132212A" w14:textId="6FD8AD4A" w:rsidR="005F2A1F" w:rsidRDefault="00FF08B6" w:rsidP="005F2A1F">
      <w:pPr>
        <w:pStyle w:val="BodyText"/>
        <w:spacing w:after="240"/>
        <w:ind w:left="720" w:right="720"/>
        <w:rPr>
          <w:szCs w:val="24"/>
        </w:rPr>
      </w:pPr>
      <w:r>
        <w:rPr>
          <w:szCs w:val="24"/>
        </w:rPr>
        <w:lastRenderedPageBreak/>
        <w:t>“</w:t>
      </w:r>
      <w:r w:rsidR="003C28DA">
        <w:rPr>
          <w:b/>
          <w:bCs/>
          <w:szCs w:val="24"/>
        </w:rPr>
        <w:t>ERS</w:t>
      </w:r>
      <w:r w:rsidR="005F06A1">
        <w:rPr>
          <w:szCs w:val="24"/>
        </w:rPr>
        <w:t xml:space="preserve"> </w:t>
      </w:r>
      <w:r w:rsidRPr="0076293A">
        <w:rPr>
          <w:b/>
          <w:bCs/>
          <w:szCs w:val="24"/>
        </w:rPr>
        <w:t>Recapture Payment</w:t>
      </w:r>
      <w:r>
        <w:rPr>
          <w:szCs w:val="24"/>
        </w:rPr>
        <w:t>” has the meaning set forth in Section [__].03 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Recapture Payments).</w:t>
      </w:r>
    </w:p>
    <w:p w14:paraId="77E0DC06" w14:textId="5BBA9E6C" w:rsidR="005F06A1" w:rsidRDefault="005F06A1" w:rsidP="005F2A1F">
      <w:pPr>
        <w:pStyle w:val="BodyText"/>
        <w:spacing w:after="240"/>
        <w:ind w:left="720" w:right="720"/>
      </w:pPr>
      <w:r>
        <w:t>“</w:t>
      </w:r>
      <w:r w:rsidR="003C28DA">
        <w:rPr>
          <w:b/>
          <w:bCs/>
          <w:szCs w:val="24"/>
        </w:rPr>
        <w:t>ERS</w:t>
      </w:r>
      <w:r w:rsidRPr="0076293A">
        <w:rPr>
          <w:b/>
          <w:bCs/>
          <w:szCs w:val="24"/>
        </w:rPr>
        <w:t xml:space="preserve"> Requirements</w:t>
      </w:r>
      <w:r>
        <w:rPr>
          <w:szCs w:val="24"/>
        </w:rPr>
        <w:t>” has the meaning set forth in Section [__].02</w:t>
      </w:r>
      <w:r w:rsidR="008D5C0F">
        <w:rPr>
          <w:szCs w:val="24"/>
        </w:rPr>
        <w:t>(b)</w:t>
      </w:r>
      <w:r>
        <w:rPr>
          <w:szCs w:val="24"/>
        </w:rPr>
        <w:t xml:space="preserve"> 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Covenants).</w:t>
      </w:r>
    </w:p>
    <w:p w14:paraId="31858D8B" w14:textId="77777777" w:rsidR="005F06A1" w:rsidRDefault="005F06A1" w:rsidP="005F06A1">
      <w:pPr>
        <w:pStyle w:val="BodyText"/>
        <w:spacing w:after="240"/>
        <w:ind w:left="720" w:right="720"/>
        <w:rPr>
          <w:szCs w:val="24"/>
        </w:rPr>
      </w:pPr>
      <w:r>
        <w:t>“</w:t>
      </w:r>
      <w:r w:rsidRPr="0076293A">
        <w:rPr>
          <w:b/>
          <w:bCs/>
        </w:rPr>
        <w:t>Implementation Failure</w:t>
      </w:r>
      <w:r>
        <w:t xml:space="preserve">” </w:t>
      </w:r>
      <w:r>
        <w:rPr>
          <w:szCs w:val="24"/>
        </w:rPr>
        <w:t>has the meaning set forth in Section [__].03 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Recapture Payments).</w:t>
      </w:r>
    </w:p>
    <w:p w14:paraId="3B2F1F53" w14:textId="6B41E811" w:rsidR="005F2A1F" w:rsidRDefault="00FF08B6" w:rsidP="005F2A1F">
      <w:pPr>
        <w:pStyle w:val="BodyText"/>
        <w:spacing w:after="240"/>
        <w:ind w:left="720" w:right="720"/>
      </w:pPr>
      <w:r>
        <w:t>“</w:t>
      </w:r>
      <w:r w:rsidRPr="00223946">
        <w:rPr>
          <w:b/>
        </w:rPr>
        <w:t>SAHF</w:t>
      </w:r>
      <w:r>
        <w:t>” mean Stewards of Affordable Housing for the Future, or such other entity as may be identified by Lender from time to time.</w:t>
      </w:r>
    </w:p>
    <w:p w14:paraId="19D18F8B" w14:textId="77777777" w:rsidR="005F2A1F" w:rsidRPr="00C56465" w:rsidRDefault="00FF08B6" w:rsidP="005F2A1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56465">
        <w:t>Section 3.02(a) (Personal Liability Based on Lender’s Loss) of the Loan Agreement is hereby amended by adding the following subsection to the end thereof:</w:t>
      </w:r>
    </w:p>
    <w:p w14:paraId="0D7FA5A1" w14:textId="77777777" w:rsidR="008D5C0F" w:rsidRDefault="00FF08B6" w:rsidP="001A6988">
      <w:pPr>
        <w:tabs>
          <w:tab w:val="left" w:pos="-720"/>
        </w:tabs>
        <w:suppressAutoHyphens/>
        <w:spacing w:after="240"/>
        <w:ind w:left="720" w:right="720" w:firstLine="720"/>
      </w:pPr>
      <w:r w:rsidRPr="00C56465">
        <w:t>([__])</w:t>
      </w:r>
      <w:r w:rsidRPr="00C56465">
        <w:tab/>
      </w:r>
      <w:r>
        <w:t xml:space="preserve">any </w:t>
      </w:r>
      <w:r w:rsidRPr="00C56465">
        <w:t>failure of Borrower to comply with Section [__]</w:t>
      </w:r>
      <w:r w:rsidRPr="00A85D37">
        <w:t>.02</w:t>
      </w:r>
      <w:r>
        <w:t xml:space="preserve"> </w:t>
      </w:r>
      <w:r>
        <w:rPr>
          <w:szCs w:val="24"/>
        </w:rPr>
        <w:t>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Covenants) </w:t>
      </w:r>
      <w:r>
        <w:t>that constitutes an Event of Default under Section</w:t>
      </w:r>
      <w:r w:rsidRPr="00C56465">
        <w:t> </w:t>
      </w:r>
      <w:r>
        <w:t xml:space="preserve">14.01(c)([__]) </w:t>
      </w:r>
      <w:r w:rsidRPr="004775C9">
        <w:t>(Events of Default Subject</w:t>
      </w:r>
      <w:r>
        <w:t xml:space="preserve"> to Extended Cure Period</w:t>
      </w:r>
      <w:r w:rsidRPr="004775C9">
        <w:t>)</w:t>
      </w:r>
      <w:r>
        <w:t xml:space="preserve"> of this Loan Agreement</w:t>
      </w:r>
      <w:r w:rsidR="00810D07">
        <w:t>.</w:t>
      </w:r>
    </w:p>
    <w:p w14:paraId="1D4FD697" w14:textId="1B119B4D" w:rsidR="005F2A1F" w:rsidRPr="00697914" w:rsidRDefault="00FF08B6" w:rsidP="008D5C0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  <w:rPr>
          <w:szCs w:val="24"/>
        </w:rPr>
      </w:pPr>
      <w:r w:rsidRPr="00697914">
        <w:rPr>
          <w:szCs w:val="24"/>
        </w:rPr>
        <w:t>Section 14.01(a) (Events of Default – Automatic Events of Default) of the Loan Agreement is hereby amended by adding the following provision</w:t>
      </w:r>
      <w:r w:rsidRPr="00A84BF2">
        <w:rPr>
          <w:bCs/>
          <w:color w:val="000000" w:themeColor="text1"/>
          <w:szCs w:val="24"/>
        </w:rPr>
        <w:t>s</w:t>
      </w:r>
      <w:r w:rsidRPr="00697914">
        <w:rPr>
          <w:color w:val="000000" w:themeColor="text1"/>
          <w:szCs w:val="24"/>
        </w:rPr>
        <w:t xml:space="preserve"> to the end </w:t>
      </w:r>
      <w:r>
        <w:rPr>
          <w:color w:val="000000" w:themeColor="text1"/>
          <w:szCs w:val="24"/>
        </w:rPr>
        <w:t>thereof</w:t>
      </w:r>
      <w:r w:rsidRPr="00697914">
        <w:rPr>
          <w:szCs w:val="24"/>
        </w:rPr>
        <w:t>:</w:t>
      </w:r>
    </w:p>
    <w:p w14:paraId="1AE81375" w14:textId="258F074E" w:rsidR="005F2A1F" w:rsidRDefault="00FF08B6" w:rsidP="005F2A1F">
      <w:pPr>
        <w:tabs>
          <w:tab w:val="left" w:pos="-720"/>
        </w:tabs>
        <w:suppressAutoHyphens/>
        <w:spacing w:after="240"/>
        <w:ind w:left="720" w:right="720" w:firstLine="720"/>
        <w:rPr>
          <w:color w:val="000000"/>
        </w:rPr>
      </w:pPr>
      <w:r w:rsidRPr="00697914">
        <w:rPr>
          <w:color w:val="000000" w:themeColor="text1"/>
          <w:szCs w:val="24"/>
        </w:rPr>
        <w:t>([__])</w:t>
      </w:r>
      <w:r w:rsidRPr="00697914">
        <w:rPr>
          <w:b/>
          <w:color w:val="000000" w:themeColor="text1"/>
          <w:szCs w:val="24"/>
        </w:rPr>
        <w:tab/>
      </w:r>
      <w:r w:rsidRPr="00697914">
        <w:rPr>
          <w:color w:val="000000" w:themeColor="text1"/>
          <w:szCs w:val="24"/>
        </w:rPr>
        <w:t xml:space="preserve">failure to timely pay the </w:t>
      </w:r>
      <w:r w:rsidR="003C28DA">
        <w:rPr>
          <w:color w:val="000000" w:themeColor="text1"/>
          <w:szCs w:val="24"/>
        </w:rPr>
        <w:t>ERS</w:t>
      </w:r>
      <w:r w:rsidR="00CB126F">
        <w:rPr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 xml:space="preserve">Recapture Payment pursuant to </w:t>
      </w:r>
      <w:r w:rsidRPr="00697914">
        <w:rPr>
          <w:color w:val="000000" w:themeColor="text1"/>
          <w:szCs w:val="24"/>
        </w:rPr>
        <w:t>Section</w:t>
      </w:r>
      <w:r>
        <w:rPr>
          <w:color w:val="000000" w:themeColor="text1"/>
          <w:szCs w:val="24"/>
        </w:rPr>
        <w:t xml:space="preserve"> [__].03 </w:t>
      </w:r>
      <w:r>
        <w:rPr>
          <w:szCs w:val="24"/>
        </w:rPr>
        <w:t>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Recapture Payments)</w:t>
      </w:r>
      <w:r w:rsidRPr="00697914">
        <w:rPr>
          <w:color w:val="000000" w:themeColor="text1"/>
          <w:szCs w:val="24"/>
        </w:rPr>
        <w:t>.</w:t>
      </w:r>
    </w:p>
    <w:p w14:paraId="543F369C" w14:textId="77777777" w:rsidR="005F2A1F" w:rsidRPr="004775C9" w:rsidRDefault="00FF08B6" w:rsidP="005F2A1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4775C9">
        <w:t>Section 14.01(</w:t>
      </w:r>
      <w:r>
        <w:t>c</w:t>
      </w:r>
      <w:r w:rsidRPr="004775C9">
        <w:t>) (Events of Default Subject</w:t>
      </w:r>
      <w:r>
        <w:t xml:space="preserve"> to Extended Cure Period</w:t>
      </w:r>
      <w:r w:rsidRPr="004775C9">
        <w:t>) of the Loan Agreement is hereby amended by adding the following provision to the end thereof:</w:t>
      </w:r>
    </w:p>
    <w:p w14:paraId="181EE6FA" w14:textId="77777777" w:rsidR="005F2A1F" w:rsidRDefault="00FF08B6" w:rsidP="005F2A1F">
      <w:pPr>
        <w:pStyle w:val="Subject"/>
        <w:spacing w:after="240"/>
        <w:ind w:left="720" w:right="720" w:firstLine="720"/>
        <w:jc w:val="both"/>
      </w:pPr>
      <w:r w:rsidRPr="00AC7CCE">
        <w:rPr>
          <w:szCs w:val="24"/>
        </w:rPr>
        <w:t>([__])</w:t>
      </w:r>
      <w:r w:rsidRPr="00AC7CCE">
        <w:rPr>
          <w:szCs w:val="24"/>
        </w:rPr>
        <w:tab/>
      </w:r>
      <w:r>
        <w:rPr>
          <w:szCs w:val="24"/>
        </w:rPr>
        <w:t xml:space="preserve">any </w:t>
      </w:r>
      <w:r w:rsidRPr="0041437E">
        <w:rPr>
          <w:szCs w:val="24"/>
        </w:rPr>
        <w:t xml:space="preserve">failure by Borrower to </w:t>
      </w:r>
      <w:r>
        <w:rPr>
          <w:szCs w:val="24"/>
        </w:rPr>
        <w:t>comply with Section</w:t>
      </w:r>
      <w:r w:rsidRPr="00C56465">
        <w:rPr>
          <w:szCs w:val="24"/>
        </w:rPr>
        <w:t> [__]</w:t>
      </w:r>
      <w:r>
        <w:rPr>
          <w:szCs w:val="24"/>
        </w:rPr>
        <w:t>.02 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Covenants) of this Loan Agreement</w:t>
      </w:r>
      <w:r>
        <w:t>.</w:t>
      </w:r>
    </w:p>
    <w:p w14:paraId="748FB24D" w14:textId="77777777" w:rsidR="005F2A1F" w:rsidRPr="00223946" w:rsidRDefault="00FF08B6" w:rsidP="005F2A1F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  <w:rPr>
          <w:spacing w:val="-3"/>
        </w:rPr>
      </w:pPr>
      <w:bookmarkStart w:id="1" w:name="_DV_M319"/>
      <w:bookmarkStart w:id="2" w:name="_DV_M320"/>
      <w:bookmarkStart w:id="3" w:name="_DV_M322"/>
      <w:bookmarkStart w:id="4" w:name="_DV_M324"/>
      <w:bookmarkStart w:id="5" w:name="_DV_M327"/>
      <w:bookmarkStart w:id="6" w:name="_DV_M328"/>
      <w:bookmarkStart w:id="7" w:name="_DV_M330"/>
      <w:bookmarkStart w:id="8" w:name="_DV_M335"/>
      <w:bookmarkStart w:id="9" w:name="_DV_M347"/>
      <w:bookmarkStart w:id="10" w:name="_DV_M349"/>
      <w:bookmarkStart w:id="11" w:name="_DV_M350"/>
      <w:bookmarkStart w:id="12" w:name="_DV_M35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223946">
        <w:rPr>
          <w:spacing w:val="-3"/>
        </w:rPr>
        <w:t>The following Article is hereby added to the Loan Agreement as Article</w:t>
      </w:r>
      <w:r>
        <w:rPr>
          <w:spacing w:val="-3"/>
        </w:rPr>
        <w:t> </w:t>
      </w:r>
      <w:r w:rsidRPr="00223946">
        <w:rPr>
          <w:spacing w:val="-3"/>
        </w:rPr>
        <w:t>[___] (</w:t>
      </w:r>
      <w:r>
        <w:rPr>
          <w:spacing w:val="-3"/>
        </w:rPr>
        <w:t>Healthy Housing Rewards</w:t>
      </w:r>
      <w:r>
        <w:rPr>
          <w:spacing w:val="-3"/>
          <w:vertAlign w:val="superscript"/>
        </w:rPr>
        <w:t>TM</w:t>
      </w:r>
      <w:r>
        <w:rPr>
          <w:spacing w:val="-3"/>
        </w:rPr>
        <w:t xml:space="preserve"> – Enhanced Resident Services</w:t>
      </w:r>
      <w:r>
        <w:rPr>
          <w:spacing w:val="-3"/>
          <w:vertAlign w:val="superscript"/>
        </w:rPr>
        <w:t>TM</w:t>
      </w:r>
      <w:r w:rsidRPr="00223946">
        <w:rPr>
          <w:spacing w:val="-3"/>
        </w:rPr>
        <w:t>):</w:t>
      </w:r>
    </w:p>
    <w:p w14:paraId="47B817A1" w14:textId="77777777" w:rsidR="005F2A1F" w:rsidRPr="00C5392B" w:rsidRDefault="00FF08B6" w:rsidP="005F2A1F">
      <w:pPr>
        <w:keepNext/>
        <w:suppressAutoHyphens/>
        <w:spacing w:after="240"/>
        <w:ind w:left="720" w:right="720"/>
        <w:jc w:val="center"/>
        <w:outlineLvl w:val="0"/>
        <w:rPr>
          <w:rFonts w:ascii="Times New Roman Bold" w:hAnsi="Times New Roman Bold"/>
          <w:b/>
          <w:snapToGrid w:val="0"/>
          <w:sz w:val="28"/>
          <w:vertAlign w:val="superscript"/>
        </w:rPr>
      </w:pPr>
      <w:bookmarkStart w:id="13" w:name="_Toc263870054"/>
      <w:bookmarkStart w:id="14" w:name="_Toc263870613"/>
      <w:bookmarkStart w:id="15" w:name="_Toc241299261"/>
      <w:bookmarkStart w:id="16" w:name="_Toc241480314"/>
      <w:bookmarkStart w:id="17" w:name="_Toc264474021"/>
      <w:bookmarkStart w:id="18" w:name="_Toc266373268"/>
      <w:bookmarkStart w:id="19" w:name="_Toc271706538"/>
      <w:r w:rsidRPr="002551D4">
        <w:rPr>
          <w:rFonts w:ascii="Times New Roman Bold" w:hAnsi="Times New Roman Bold"/>
          <w:b/>
          <w:snapToGrid w:val="0"/>
          <w:sz w:val="28"/>
        </w:rPr>
        <w:t xml:space="preserve">ARTICLE </w:t>
      </w:r>
      <w:r>
        <w:rPr>
          <w:rFonts w:ascii="Times New Roman Bold" w:hAnsi="Times New Roman Bold"/>
          <w:b/>
          <w:snapToGrid w:val="0"/>
          <w:sz w:val="28"/>
        </w:rPr>
        <w:t>[___]</w:t>
      </w:r>
      <w:bookmarkStart w:id="20" w:name="_Toc263870055"/>
      <w:bookmarkStart w:id="21" w:name="_Toc263870614"/>
      <w:bookmarkEnd w:id="13"/>
      <w:bookmarkEnd w:id="14"/>
      <w:r w:rsidRPr="002551D4">
        <w:rPr>
          <w:rFonts w:ascii="Times New Roman Bold" w:hAnsi="Times New Roman Bold"/>
          <w:b/>
          <w:snapToGrid w:val="0"/>
          <w:sz w:val="28"/>
        </w:rPr>
        <w:t xml:space="preserve"> – 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 Bold" w:hAnsi="Times New Roman Bold"/>
          <w:b/>
          <w:snapToGrid w:val="0"/>
          <w:sz w:val="28"/>
        </w:rPr>
        <w:t>HEALTHY HOUSING REWARDS</w:t>
      </w:r>
      <w:r w:rsidRPr="007673ED">
        <w:rPr>
          <w:rFonts w:ascii="Times New Roman Bold" w:hAnsi="Times New Roman Bold"/>
          <w:b/>
          <w:snapToGrid w:val="0"/>
          <w:sz w:val="28"/>
          <w:vertAlign w:val="superscript"/>
        </w:rPr>
        <w:t>TM</w:t>
      </w:r>
      <w:r>
        <w:rPr>
          <w:rFonts w:ascii="Times New Roman Bold" w:hAnsi="Times New Roman Bold"/>
          <w:b/>
          <w:snapToGrid w:val="0"/>
          <w:sz w:val="28"/>
          <w:vertAlign w:val="superscript"/>
        </w:rPr>
        <w:t xml:space="preserve"> </w:t>
      </w:r>
      <w:r w:rsidRPr="00A85D37">
        <w:rPr>
          <w:rFonts w:ascii="Times New Roman Bold" w:hAnsi="Times New Roman Bold"/>
          <w:b/>
          <w:snapToGrid w:val="0"/>
          <w:sz w:val="28"/>
        </w:rPr>
        <w:t>– E</w:t>
      </w:r>
      <w:r>
        <w:rPr>
          <w:rFonts w:ascii="Times New Roman Bold" w:hAnsi="Times New Roman Bold"/>
          <w:b/>
          <w:snapToGrid w:val="0"/>
          <w:sz w:val="28"/>
        </w:rPr>
        <w:t>NHANCED RESIDENT SERVICES</w:t>
      </w:r>
      <w:r w:rsidRPr="007673ED">
        <w:rPr>
          <w:rFonts w:ascii="Times New Roman Bold" w:hAnsi="Times New Roman Bold"/>
          <w:b/>
          <w:snapToGrid w:val="0"/>
          <w:sz w:val="28"/>
          <w:vertAlign w:val="superscript"/>
        </w:rPr>
        <w:t>TM</w:t>
      </w:r>
    </w:p>
    <w:p w14:paraId="7C6F4570" w14:textId="77777777" w:rsidR="005F2A1F" w:rsidRDefault="00FF08B6" w:rsidP="005F2A1F">
      <w:pPr>
        <w:pStyle w:val="BodyText"/>
        <w:keepNext/>
        <w:tabs>
          <w:tab w:val="left" w:pos="2520"/>
        </w:tabs>
        <w:spacing w:after="240"/>
        <w:ind w:left="720" w:right="720"/>
      </w:pPr>
      <w:r>
        <w:rPr>
          <w:b/>
          <w:spacing w:val="-3"/>
        </w:rPr>
        <w:t>Section [__].01</w:t>
      </w:r>
      <w:r>
        <w:rPr>
          <w:b/>
          <w:spacing w:val="-3"/>
        </w:rPr>
        <w:tab/>
      </w:r>
      <w:r w:rsidRPr="0000142B">
        <w:rPr>
          <w:b/>
        </w:rPr>
        <w:t xml:space="preserve">Representations </w:t>
      </w:r>
      <w:r>
        <w:rPr>
          <w:b/>
        </w:rPr>
        <w:t>and Warranties.</w:t>
      </w:r>
    </w:p>
    <w:p w14:paraId="53C7E49B" w14:textId="77777777" w:rsidR="005F2A1F" w:rsidRDefault="00FF08B6" w:rsidP="005F2A1F">
      <w:pPr>
        <w:pStyle w:val="BodyText"/>
        <w:spacing w:after="240"/>
        <w:ind w:left="720" w:right="720" w:firstLine="720"/>
      </w:pPr>
      <w:r>
        <w:t>The representations and warranties made by Borrower to Lender in this Section are made as of the Effective Date.</w:t>
      </w:r>
    </w:p>
    <w:p w14:paraId="3699DF28" w14:textId="46E2D917" w:rsidR="005F2A1F" w:rsidRDefault="00FF08B6" w:rsidP="005F2A1F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</w:pPr>
      <w:r>
        <w:lastRenderedPageBreak/>
        <w:t>(a)</w:t>
      </w:r>
      <w:r>
        <w:tab/>
      </w:r>
      <w:r w:rsidR="002843EA">
        <w:t>T</w:t>
      </w:r>
      <w:r>
        <w:t xml:space="preserve">he Mortgaged Property </w:t>
      </w:r>
      <w:r w:rsidR="002843EA">
        <w:t xml:space="preserve">has a valid ERS Certification </w:t>
      </w:r>
      <w:r>
        <w:t xml:space="preserve">and </w:t>
      </w:r>
      <w:bookmarkStart w:id="22" w:name="_Hlk87607946"/>
      <w:r>
        <w:t>Certified Servicer Provider</w:t>
      </w:r>
      <w:bookmarkEnd w:id="22"/>
      <w:r>
        <w:t xml:space="preserve"> ha</w:t>
      </w:r>
      <w:r w:rsidR="002843EA">
        <w:t>s</w:t>
      </w:r>
      <w:r>
        <w:t xml:space="preserve"> </w:t>
      </w:r>
      <w:r w:rsidR="002843EA">
        <w:t xml:space="preserve">a </w:t>
      </w:r>
      <w:r>
        <w:t xml:space="preserve">valid </w:t>
      </w:r>
      <w:r w:rsidR="002843EA">
        <w:t>CORES Certification</w:t>
      </w:r>
      <w:r>
        <w:t>.</w:t>
      </w:r>
    </w:p>
    <w:p w14:paraId="3818DC03" w14:textId="77777777" w:rsidR="005F2A1F" w:rsidRPr="0000142B" w:rsidRDefault="00FF08B6" w:rsidP="005F2A1F">
      <w:pPr>
        <w:pStyle w:val="BodyText"/>
        <w:tabs>
          <w:tab w:val="left" w:pos="2520"/>
        </w:tabs>
        <w:spacing w:after="240"/>
        <w:ind w:left="720" w:right="720"/>
        <w:rPr>
          <w:b/>
        </w:rPr>
      </w:pPr>
      <w:r w:rsidRPr="0000142B">
        <w:rPr>
          <w:b/>
        </w:rPr>
        <w:t xml:space="preserve">Section </w:t>
      </w:r>
      <w:r>
        <w:rPr>
          <w:b/>
        </w:rPr>
        <w:t>[</w:t>
      </w:r>
      <w:r w:rsidRPr="0000142B">
        <w:rPr>
          <w:b/>
        </w:rPr>
        <w:t>__</w:t>
      </w:r>
      <w:r>
        <w:rPr>
          <w:b/>
        </w:rPr>
        <w:t>]</w:t>
      </w:r>
      <w:r w:rsidRPr="0000142B">
        <w:rPr>
          <w:b/>
        </w:rPr>
        <w:t>.02</w:t>
      </w:r>
      <w:r w:rsidRPr="0000142B">
        <w:rPr>
          <w:b/>
        </w:rPr>
        <w:tab/>
        <w:t>Covenants</w:t>
      </w:r>
      <w:r>
        <w:rPr>
          <w:b/>
        </w:rPr>
        <w:t>.</w:t>
      </w:r>
    </w:p>
    <w:p w14:paraId="01D3BEE2" w14:textId="63FFC96E" w:rsidR="00CE0851" w:rsidRDefault="00FF08B6" w:rsidP="005F2A1F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  <w:spacing w:val="-3"/>
        </w:rPr>
      </w:pPr>
      <w:r>
        <w:rPr>
          <w:color w:val="000000"/>
          <w:spacing w:val="-3"/>
        </w:rPr>
        <w:t>(a)</w:t>
      </w:r>
      <w:r>
        <w:rPr>
          <w:color w:val="000000"/>
          <w:spacing w:val="-3"/>
        </w:rPr>
        <w:tab/>
        <w:t>Borrower shall</w:t>
      </w:r>
      <w:r w:rsidR="00CE0851">
        <w:rPr>
          <w:color w:val="000000"/>
          <w:spacing w:val="-3"/>
        </w:rPr>
        <w:t>:</w:t>
      </w:r>
    </w:p>
    <w:p w14:paraId="74095734" w14:textId="4A0C6639" w:rsidR="00CE0851" w:rsidRDefault="008D5C0F" w:rsidP="008D5C0F">
      <w:pPr>
        <w:pStyle w:val="BodyText"/>
        <w:overflowPunct/>
        <w:autoSpaceDE/>
        <w:autoSpaceDN/>
        <w:adjustRightInd/>
        <w:spacing w:after="240"/>
        <w:ind w:left="1440" w:right="720" w:firstLine="720"/>
        <w:textAlignment w:val="auto"/>
        <w:rPr>
          <w:color w:val="000000"/>
          <w:spacing w:val="-3"/>
        </w:rPr>
      </w:pPr>
      <w:r>
        <w:rPr>
          <w:color w:val="000000"/>
          <w:spacing w:val="-3"/>
        </w:rPr>
        <w:t>(1)</w:t>
      </w:r>
      <w:r>
        <w:rPr>
          <w:color w:val="000000"/>
          <w:spacing w:val="-3"/>
        </w:rPr>
        <w:tab/>
      </w:r>
      <w:r w:rsidR="00FF08B6">
        <w:rPr>
          <w:color w:val="000000"/>
          <w:spacing w:val="-3"/>
        </w:rPr>
        <w:t xml:space="preserve">submit to SAHF all information required by SAHF to </w:t>
      </w:r>
      <w:r w:rsidR="009747DD">
        <w:rPr>
          <w:color w:val="000000"/>
          <w:spacing w:val="-3"/>
        </w:rPr>
        <w:t xml:space="preserve">maintain a </w:t>
      </w:r>
      <w:r w:rsidR="00CE0851">
        <w:rPr>
          <w:color w:val="000000"/>
          <w:spacing w:val="-3"/>
        </w:rPr>
        <w:t>continuously</w:t>
      </w:r>
      <w:r w:rsidR="009747DD">
        <w:rPr>
          <w:color w:val="000000"/>
          <w:spacing w:val="-3"/>
        </w:rPr>
        <w:t xml:space="preserve"> valid ERS Certification </w:t>
      </w:r>
      <w:r w:rsidR="00CE0851">
        <w:rPr>
          <w:color w:val="000000"/>
          <w:spacing w:val="-3"/>
        </w:rPr>
        <w:t>throughout the Loan Term</w:t>
      </w:r>
      <w:r w:rsidR="007E3E0F">
        <w:rPr>
          <w:color w:val="000000"/>
          <w:spacing w:val="-3"/>
        </w:rPr>
        <w:t>;</w:t>
      </w:r>
      <w:r w:rsidR="0014490A">
        <w:rPr>
          <w:color w:val="000000"/>
          <w:spacing w:val="-3"/>
        </w:rPr>
        <w:t xml:space="preserve"> and</w:t>
      </w:r>
    </w:p>
    <w:p w14:paraId="26B38770" w14:textId="027BC589" w:rsidR="007E3E0F" w:rsidRDefault="008D5C0F" w:rsidP="008D5C0F">
      <w:pPr>
        <w:pStyle w:val="BodyText"/>
        <w:overflowPunct/>
        <w:autoSpaceDE/>
        <w:autoSpaceDN/>
        <w:adjustRightInd/>
        <w:spacing w:after="240"/>
        <w:ind w:left="1440" w:right="720" w:firstLine="720"/>
        <w:textAlignment w:val="auto"/>
        <w:rPr>
          <w:color w:val="000000"/>
        </w:rPr>
      </w:pPr>
      <w:r>
        <w:rPr>
          <w:color w:val="000000"/>
          <w:spacing w:val="-3"/>
        </w:rPr>
        <w:t>(2)</w:t>
      </w:r>
      <w:r w:rsidR="00CE0851">
        <w:rPr>
          <w:color w:val="000000"/>
          <w:spacing w:val="-3"/>
        </w:rPr>
        <w:tab/>
        <w:t xml:space="preserve">cause </w:t>
      </w:r>
      <w:r w:rsidR="00923A98">
        <w:rPr>
          <w:color w:val="000000"/>
          <w:spacing w:val="-3"/>
        </w:rPr>
        <w:t xml:space="preserve">any </w:t>
      </w:r>
      <w:r w:rsidR="00CE0851" w:rsidRPr="00D1547A">
        <w:rPr>
          <w:bCs/>
        </w:rPr>
        <w:t>Certified Service Provider</w:t>
      </w:r>
      <w:r w:rsidR="00CE0851">
        <w:rPr>
          <w:color w:val="000000"/>
        </w:rPr>
        <w:t xml:space="preserve"> to </w:t>
      </w:r>
      <w:r w:rsidR="00CE0851">
        <w:rPr>
          <w:color w:val="000000"/>
          <w:spacing w:val="-3"/>
        </w:rPr>
        <w:t xml:space="preserve">maintain a </w:t>
      </w:r>
      <w:r w:rsidR="00CE0851">
        <w:rPr>
          <w:color w:val="000000"/>
        </w:rPr>
        <w:t xml:space="preserve">continuously </w:t>
      </w:r>
      <w:r w:rsidR="00C9679F">
        <w:rPr>
          <w:color w:val="000000"/>
        </w:rPr>
        <w:t xml:space="preserve">valid CORES Certification </w:t>
      </w:r>
      <w:r w:rsidR="00CE0851">
        <w:rPr>
          <w:color w:val="000000"/>
        </w:rPr>
        <w:t xml:space="preserve">throughout the Loan </w:t>
      </w:r>
      <w:r w:rsidR="00C9679F">
        <w:rPr>
          <w:color w:val="000000"/>
        </w:rPr>
        <w:t>T</w:t>
      </w:r>
      <w:r w:rsidR="00CE0851">
        <w:rPr>
          <w:color w:val="000000"/>
        </w:rPr>
        <w:t>erm</w:t>
      </w:r>
      <w:r w:rsidR="0014490A">
        <w:rPr>
          <w:color w:val="000000"/>
        </w:rPr>
        <w:t>.</w:t>
      </w:r>
    </w:p>
    <w:p w14:paraId="0462FC75" w14:textId="4A57149B" w:rsidR="005F2A1F" w:rsidRPr="0076293A" w:rsidRDefault="00FF08B6" w:rsidP="0014490A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bookmarkStart w:id="23" w:name="_DV_C481"/>
      <w:r>
        <w:rPr>
          <w:color w:val="000000"/>
        </w:rPr>
        <w:t>(</w:t>
      </w:r>
      <w:r w:rsidR="001A6988">
        <w:rPr>
          <w:color w:val="000000"/>
        </w:rPr>
        <w:t>b</w:t>
      </w:r>
      <w:r>
        <w:rPr>
          <w:color w:val="000000"/>
        </w:rPr>
        <w:t>)</w:t>
      </w:r>
      <w:r>
        <w:rPr>
          <w:color w:val="000000"/>
        </w:rPr>
        <w:tab/>
      </w:r>
      <w:r w:rsidRPr="00697914">
        <w:rPr>
          <w:color w:val="000000" w:themeColor="text1"/>
          <w:szCs w:val="24"/>
        </w:rPr>
        <w:t>Borrower shall include with each annual certification submitted in accordance with Section</w:t>
      </w:r>
      <w:r>
        <w:rPr>
          <w:color w:val="000000" w:themeColor="text1"/>
          <w:szCs w:val="24"/>
        </w:rPr>
        <w:t> </w:t>
      </w:r>
      <w:r w:rsidRPr="00697914">
        <w:rPr>
          <w:color w:val="000000" w:themeColor="text1"/>
          <w:szCs w:val="24"/>
        </w:rPr>
        <w:t>8.02(b)(2)(E)</w:t>
      </w:r>
      <w:r>
        <w:rPr>
          <w:color w:val="000000" w:themeColor="text1"/>
          <w:szCs w:val="24"/>
        </w:rPr>
        <w:t xml:space="preserve"> the following: (</w:t>
      </w:r>
      <w:r w:rsidR="008D5C0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)</w:t>
      </w:r>
      <w:r w:rsidR="008D5C0F">
        <w:rPr>
          <w:color w:val="000000" w:themeColor="text1"/>
          <w:szCs w:val="24"/>
        </w:rPr>
        <w:t> </w:t>
      </w:r>
      <w:r w:rsidRPr="00697914">
        <w:rPr>
          <w:color w:val="000000" w:themeColor="text1"/>
          <w:szCs w:val="24"/>
        </w:rPr>
        <w:t xml:space="preserve">the </w:t>
      </w:r>
      <w:r>
        <w:rPr>
          <w:color w:val="000000" w:themeColor="text1"/>
          <w:szCs w:val="24"/>
        </w:rPr>
        <w:t>ERS Certification</w:t>
      </w:r>
      <w:bookmarkEnd w:id="23"/>
      <w:r>
        <w:rPr>
          <w:color w:val="000000" w:themeColor="text1"/>
          <w:szCs w:val="24"/>
        </w:rPr>
        <w:t>, (</w:t>
      </w:r>
      <w:r w:rsidR="008D5C0F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)</w:t>
      </w:r>
      <w:r w:rsidR="008D5C0F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 xml:space="preserve">evidence of a current CORES </w:t>
      </w:r>
      <w:r w:rsidR="009249A1">
        <w:rPr>
          <w:color w:val="000000" w:themeColor="text1"/>
          <w:szCs w:val="24"/>
        </w:rPr>
        <w:t>C</w:t>
      </w:r>
      <w:r>
        <w:rPr>
          <w:color w:val="000000" w:themeColor="text1"/>
          <w:szCs w:val="24"/>
        </w:rPr>
        <w:t>ertificat</w:t>
      </w:r>
      <w:r w:rsidR="009249A1">
        <w:rPr>
          <w:color w:val="000000" w:themeColor="text1"/>
          <w:szCs w:val="24"/>
        </w:rPr>
        <w:t>ion</w:t>
      </w:r>
      <w:r>
        <w:rPr>
          <w:color w:val="000000" w:themeColor="text1"/>
          <w:szCs w:val="24"/>
        </w:rPr>
        <w:t>, and (</w:t>
      </w:r>
      <w:r w:rsidR="008D5C0F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)</w:t>
      </w:r>
      <w:r w:rsidR="008D5C0F">
        <w:rPr>
          <w:color w:val="000000" w:themeColor="text1"/>
          <w:szCs w:val="24"/>
        </w:rPr>
        <w:t> </w:t>
      </w:r>
      <w:r w:rsidRPr="00697914">
        <w:rPr>
          <w:szCs w:val="24"/>
        </w:rPr>
        <w:t xml:space="preserve">a written certification </w:t>
      </w:r>
      <w:r>
        <w:rPr>
          <w:szCs w:val="24"/>
        </w:rPr>
        <w:t>that Borrower has otherwise satisfied all covenants in this Section [__].02 (Healthy Housing Rewards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Covenants) (the “</w:t>
      </w:r>
      <w:r w:rsidR="003C28DA">
        <w:rPr>
          <w:b/>
          <w:bCs/>
          <w:szCs w:val="24"/>
        </w:rPr>
        <w:t xml:space="preserve">ERS </w:t>
      </w:r>
      <w:r w:rsidRPr="0076293A">
        <w:rPr>
          <w:b/>
          <w:bCs/>
          <w:szCs w:val="24"/>
        </w:rPr>
        <w:t>Requirements</w:t>
      </w:r>
      <w:r>
        <w:rPr>
          <w:szCs w:val="24"/>
        </w:rPr>
        <w:t xml:space="preserve">”) </w:t>
      </w:r>
      <w:bookmarkStart w:id="24" w:name="_DV_C507"/>
      <w:r w:rsidRPr="00697914">
        <w:rPr>
          <w:color w:val="000000" w:themeColor="text1"/>
          <w:szCs w:val="24"/>
        </w:rPr>
        <w:t xml:space="preserve">since the </w:t>
      </w:r>
      <w:r>
        <w:rPr>
          <w:color w:val="000000" w:themeColor="text1"/>
          <w:szCs w:val="24"/>
        </w:rPr>
        <w:t xml:space="preserve">later </w:t>
      </w:r>
      <w:r w:rsidRPr="00697914">
        <w:rPr>
          <w:color w:val="000000" w:themeColor="text1"/>
          <w:szCs w:val="24"/>
        </w:rPr>
        <w:t>of the Effective Date and the last annual certification delivered to Lender</w:t>
      </w:r>
      <w:bookmarkEnd w:id="24"/>
      <w:r>
        <w:rPr>
          <w:color w:val="000000" w:themeColor="text1"/>
          <w:szCs w:val="24"/>
        </w:rPr>
        <w:t>.</w:t>
      </w:r>
    </w:p>
    <w:p w14:paraId="647BD012" w14:textId="2F684DF0" w:rsidR="005F2A1F" w:rsidRDefault="00FF08B6" w:rsidP="005F2A1F">
      <w:pPr>
        <w:pStyle w:val="BodyText"/>
        <w:tabs>
          <w:tab w:val="left" w:pos="2520"/>
        </w:tabs>
        <w:spacing w:after="240"/>
        <w:ind w:left="720" w:right="720"/>
        <w:rPr>
          <w:b/>
          <w:szCs w:val="24"/>
        </w:rPr>
      </w:pPr>
      <w:r>
        <w:rPr>
          <w:b/>
          <w:szCs w:val="24"/>
        </w:rPr>
        <w:t>Section [__].03</w:t>
      </w:r>
      <w:r w:rsidRPr="00697914">
        <w:rPr>
          <w:b/>
          <w:szCs w:val="24"/>
        </w:rPr>
        <w:tab/>
      </w:r>
      <w:r w:rsidR="003C28DA">
        <w:rPr>
          <w:b/>
          <w:szCs w:val="24"/>
        </w:rPr>
        <w:t xml:space="preserve">ERS </w:t>
      </w:r>
      <w:r>
        <w:rPr>
          <w:b/>
          <w:szCs w:val="24"/>
        </w:rPr>
        <w:t>Recapture Payments</w:t>
      </w:r>
      <w:r w:rsidRPr="00697914">
        <w:rPr>
          <w:b/>
          <w:szCs w:val="24"/>
        </w:rPr>
        <w:t>.</w:t>
      </w:r>
      <w:bookmarkStart w:id="25" w:name="_DV_M356"/>
      <w:bookmarkEnd w:id="25"/>
    </w:p>
    <w:p w14:paraId="7CEA2BE3" w14:textId="66BFB2E4" w:rsidR="005F2A1F" w:rsidRDefault="00FF08B6" w:rsidP="005F2A1F">
      <w:pPr>
        <w:pStyle w:val="BodyText"/>
        <w:keepNext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  <w:szCs w:val="24"/>
        </w:rPr>
      </w:pPr>
      <w:bookmarkStart w:id="26" w:name="_DV_X482"/>
      <w:bookmarkStart w:id="27" w:name="_DV_C513"/>
      <w:r w:rsidRPr="00F97DC9">
        <w:rPr>
          <w:color w:val="000000" w:themeColor="text1"/>
          <w:szCs w:val="24"/>
        </w:rPr>
        <w:t xml:space="preserve">For and in consideration of Borrower agreeing to implement </w:t>
      </w:r>
      <w:r>
        <w:rPr>
          <w:color w:val="000000" w:themeColor="text1"/>
          <w:szCs w:val="24"/>
        </w:rPr>
        <w:t xml:space="preserve">the </w:t>
      </w:r>
      <w:r w:rsidR="003C28DA">
        <w:rPr>
          <w:color w:val="000000" w:themeColor="text1"/>
          <w:szCs w:val="24"/>
        </w:rPr>
        <w:t xml:space="preserve">ERS </w:t>
      </w:r>
      <w:r>
        <w:rPr>
          <w:color w:val="000000" w:themeColor="text1"/>
          <w:szCs w:val="24"/>
        </w:rPr>
        <w:t xml:space="preserve">Requirements, </w:t>
      </w:r>
      <w:r w:rsidRPr="00F97DC9">
        <w:rPr>
          <w:color w:val="000000" w:themeColor="text1"/>
          <w:szCs w:val="24"/>
        </w:rPr>
        <w:t>Lender has granted Borrower a</w:t>
      </w:r>
      <w:r w:rsidR="003C28DA">
        <w:rPr>
          <w:color w:val="000000" w:themeColor="text1"/>
          <w:szCs w:val="24"/>
        </w:rPr>
        <w:t>n ERS</w:t>
      </w:r>
      <w:r w:rsidRPr="00F97DC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</w:t>
      </w:r>
      <w:r w:rsidRPr="00F97DC9">
        <w:rPr>
          <w:color w:val="000000" w:themeColor="text1"/>
          <w:szCs w:val="24"/>
        </w:rPr>
        <w:t xml:space="preserve">ricing </w:t>
      </w:r>
      <w:r>
        <w:rPr>
          <w:color w:val="000000" w:themeColor="text1"/>
          <w:szCs w:val="24"/>
        </w:rPr>
        <w:t>I</w:t>
      </w:r>
      <w:r w:rsidRPr="00F97DC9">
        <w:rPr>
          <w:color w:val="000000" w:themeColor="text1"/>
          <w:szCs w:val="24"/>
        </w:rPr>
        <w:t>ncentive over the Loan</w:t>
      </w:r>
      <w:r>
        <w:rPr>
          <w:color w:val="000000" w:themeColor="text1"/>
          <w:szCs w:val="24"/>
        </w:rPr>
        <w:t xml:space="preserve"> </w:t>
      </w:r>
      <w:r w:rsidR="009249A1">
        <w:rPr>
          <w:color w:val="000000" w:themeColor="text1"/>
          <w:szCs w:val="24"/>
        </w:rPr>
        <w:t>Term</w:t>
      </w:r>
      <w:r w:rsidRPr="00F97DC9">
        <w:rPr>
          <w:color w:val="000000" w:themeColor="text1"/>
          <w:szCs w:val="24"/>
        </w:rPr>
        <w:t xml:space="preserve">.  If </w:t>
      </w:r>
      <w:r w:rsidR="005F06A1">
        <w:rPr>
          <w:color w:val="000000" w:themeColor="text1"/>
          <w:szCs w:val="24"/>
        </w:rPr>
        <w:t xml:space="preserve">any representation in </w:t>
      </w:r>
      <w:r w:rsidRPr="00F97DC9">
        <w:rPr>
          <w:color w:val="000000" w:themeColor="text1"/>
          <w:szCs w:val="24"/>
        </w:rPr>
        <w:t xml:space="preserve">Section [__].01 </w:t>
      </w:r>
      <w:r>
        <w:rPr>
          <w:szCs w:val="24"/>
        </w:rPr>
        <w:t>(Healthy Housing Rewards</w:t>
      </w:r>
      <w:r>
        <w:rPr>
          <w:szCs w:val="24"/>
          <w:vertAlign w:val="superscript"/>
        </w:rPr>
        <w:t>TM</w:t>
      </w:r>
      <w:r w:rsidR="003C28DA">
        <w:rPr>
          <w:szCs w:val="24"/>
        </w:rPr>
        <w:t> </w:t>
      </w:r>
      <w:r>
        <w:rPr>
          <w:szCs w:val="24"/>
        </w:rPr>
        <w:t>– Enhanced Resident Services</w:t>
      </w:r>
      <w:r>
        <w:rPr>
          <w:szCs w:val="24"/>
          <w:vertAlign w:val="superscript"/>
        </w:rPr>
        <w:t>TM</w:t>
      </w:r>
      <w:r>
        <w:rPr>
          <w:szCs w:val="24"/>
        </w:rPr>
        <w:t xml:space="preserve"> – </w:t>
      </w:r>
      <w:r w:rsidRPr="00F97DC9">
        <w:rPr>
          <w:color w:val="000000" w:themeColor="text1"/>
          <w:szCs w:val="24"/>
        </w:rPr>
        <w:t xml:space="preserve">Representations and Warranties) </w:t>
      </w:r>
      <w:r w:rsidR="005F06A1">
        <w:rPr>
          <w:color w:val="000000" w:themeColor="text1"/>
          <w:szCs w:val="24"/>
        </w:rPr>
        <w:t xml:space="preserve">is untrue when made </w:t>
      </w:r>
      <w:r>
        <w:rPr>
          <w:color w:val="000000" w:themeColor="text1"/>
          <w:szCs w:val="24"/>
        </w:rPr>
        <w:t xml:space="preserve">or for any </w:t>
      </w:r>
      <w:r w:rsidR="001A6988">
        <w:rPr>
          <w:color w:val="000000" w:themeColor="text1"/>
          <w:szCs w:val="24"/>
        </w:rPr>
        <w:t xml:space="preserve">calendar </w:t>
      </w:r>
      <w:r>
        <w:rPr>
          <w:color w:val="000000" w:themeColor="text1"/>
          <w:szCs w:val="24"/>
        </w:rPr>
        <w:t xml:space="preserve">year that </w:t>
      </w:r>
      <w:r>
        <w:rPr>
          <w:color w:val="000000"/>
          <w:szCs w:val="24"/>
        </w:rPr>
        <w:t xml:space="preserve">the </w:t>
      </w:r>
      <w:r w:rsidR="003C28DA">
        <w:rPr>
          <w:color w:val="000000"/>
          <w:szCs w:val="24"/>
        </w:rPr>
        <w:t xml:space="preserve">ERS </w:t>
      </w:r>
      <w:r>
        <w:rPr>
          <w:color w:val="000000"/>
          <w:szCs w:val="24"/>
        </w:rPr>
        <w:t xml:space="preserve">Requirements are not satisfied </w:t>
      </w:r>
      <w:r w:rsidRPr="00F97DC9">
        <w:rPr>
          <w:color w:val="000000" w:themeColor="text1"/>
          <w:szCs w:val="24"/>
        </w:rPr>
        <w:t>which failure constitutes an Event of Default under this Loan Agreement</w:t>
      </w:r>
      <w:r>
        <w:rPr>
          <w:color w:val="000000" w:themeColor="text1"/>
          <w:szCs w:val="24"/>
        </w:rPr>
        <w:t xml:space="preserve"> </w:t>
      </w:r>
      <w:r>
        <w:rPr>
          <w:color w:val="000000"/>
          <w:szCs w:val="24"/>
        </w:rPr>
        <w:t>(an “</w:t>
      </w:r>
      <w:r w:rsidRPr="00513861">
        <w:rPr>
          <w:b/>
          <w:bCs/>
          <w:color w:val="000000"/>
          <w:szCs w:val="24"/>
        </w:rPr>
        <w:t>Implementation Failure</w:t>
      </w:r>
      <w:r>
        <w:rPr>
          <w:color w:val="000000"/>
          <w:szCs w:val="24"/>
        </w:rPr>
        <w:t>”)</w:t>
      </w:r>
      <w:r w:rsidRPr="00F97DC9">
        <w:rPr>
          <w:color w:val="000000" w:themeColor="text1"/>
          <w:szCs w:val="24"/>
        </w:rPr>
        <w:t>, Borrower shall reimburse Lender, within ten</w:t>
      </w:r>
      <w:r>
        <w:rPr>
          <w:color w:val="000000" w:themeColor="text1"/>
          <w:szCs w:val="24"/>
        </w:rPr>
        <w:t> </w:t>
      </w:r>
      <w:r w:rsidRPr="00F97DC9">
        <w:rPr>
          <w:color w:val="000000" w:themeColor="text1"/>
          <w:szCs w:val="24"/>
        </w:rPr>
        <w:t>(10) days after written demand, (</w:t>
      </w:r>
      <w:r>
        <w:rPr>
          <w:color w:val="000000" w:themeColor="text1"/>
          <w:szCs w:val="24"/>
        </w:rPr>
        <w:t>a</w:t>
      </w:r>
      <w:r w:rsidRPr="00F97DC9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F97DC9">
        <w:rPr>
          <w:color w:val="000000" w:themeColor="text1"/>
          <w:szCs w:val="24"/>
        </w:rPr>
        <w:t xml:space="preserve">the </w:t>
      </w:r>
      <w:r w:rsidR="003C28DA">
        <w:rPr>
          <w:color w:val="000000" w:themeColor="text1"/>
          <w:szCs w:val="24"/>
        </w:rPr>
        <w:t xml:space="preserve">ERS </w:t>
      </w:r>
      <w:r w:rsidRPr="00787207">
        <w:rPr>
          <w:color w:val="000000" w:themeColor="text1"/>
          <w:szCs w:val="24"/>
        </w:rPr>
        <w:t xml:space="preserve">Pricing Incentive </w:t>
      </w:r>
      <w:r w:rsidR="001A6988">
        <w:rPr>
          <w:color w:val="000000" w:themeColor="text1"/>
          <w:szCs w:val="24"/>
        </w:rPr>
        <w:t xml:space="preserve">for such calendar year (as calculated by Lender) </w:t>
      </w:r>
      <w:r w:rsidRPr="00F97DC9">
        <w:rPr>
          <w:color w:val="000000" w:themeColor="text1"/>
          <w:szCs w:val="24"/>
        </w:rPr>
        <w:t>plus (</w:t>
      </w:r>
      <w:r>
        <w:rPr>
          <w:color w:val="000000" w:themeColor="text1"/>
          <w:szCs w:val="24"/>
        </w:rPr>
        <w:t>b</w:t>
      </w:r>
      <w:r w:rsidRPr="00F97DC9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 in connection with the first </w:t>
      </w:r>
      <w:r w:rsidR="003C28DA">
        <w:rPr>
          <w:color w:val="000000" w:themeColor="text1"/>
          <w:szCs w:val="24"/>
        </w:rPr>
        <w:t xml:space="preserve">ERS </w:t>
      </w:r>
      <w:r>
        <w:rPr>
          <w:color w:val="000000" w:themeColor="text1"/>
          <w:szCs w:val="24"/>
        </w:rPr>
        <w:t xml:space="preserve">Pricing Incentive </w:t>
      </w:r>
      <w:r w:rsidR="001A6988">
        <w:rPr>
          <w:color w:val="000000" w:themeColor="text1"/>
          <w:szCs w:val="24"/>
        </w:rPr>
        <w:t>re</w:t>
      </w:r>
      <w:r>
        <w:rPr>
          <w:color w:val="000000" w:themeColor="text1"/>
          <w:szCs w:val="24"/>
        </w:rPr>
        <w:t xml:space="preserve">payment, </w:t>
      </w:r>
      <w:r w:rsidRPr="00F97DC9">
        <w:rPr>
          <w:color w:val="000000" w:themeColor="text1"/>
          <w:szCs w:val="24"/>
        </w:rPr>
        <w:t xml:space="preserve">any and all additional incentives, discounts, rebates, costs, expenses and fees provided by Lender or incurred by Lender in connection with the granting of such </w:t>
      </w:r>
      <w:r w:rsidR="003C28DA">
        <w:rPr>
          <w:color w:val="000000" w:themeColor="text1"/>
          <w:szCs w:val="24"/>
        </w:rPr>
        <w:t xml:space="preserve">ERS </w:t>
      </w:r>
      <w:r w:rsidRPr="00F97DC9">
        <w:rPr>
          <w:color w:val="000000" w:themeColor="text1"/>
          <w:szCs w:val="24"/>
        </w:rPr>
        <w:t>Pricing Incentive (</w:t>
      </w:r>
      <w:r>
        <w:rPr>
          <w:color w:val="000000" w:themeColor="text1"/>
          <w:szCs w:val="24"/>
        </w:rPr>
        <w:t>collectively</w:t>
      </w:r>
      <w:r w:rsidR="00433EAA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Pr="00F97DC9">
        <w:rPr>
          <w:color w:val="000000" w:themeColor="text1"/>
          <w:szCs w:val="24"/>
        </w:rPr>
        <w:t>the “</w:t>
      </w:r>
      <w:r w:rsidR="003C28DA">
        <w:rPr>
          <w:b/>
          <w:bCs/>
          <w:color w:val="000000" w:themeColor="text1"/>
          <w:szCs w:val="24"/>
        </w:rPr>
        <w:t xml:space="preserve">ERS </w:t>
      </w:r>
      <w:r w:rsidRPr="00F97DC9">
        <w:rPr>
          <w:b/>
          <w:bCs/>
          <w:color w:val="000000" w:themeColor="text1"/>
          <w:szCs w:val="24"/>
        </w:rPr>
        <w:t>Recapture Payment</w:t>
      </w:r>
      <w:r w:rsidRPr="00F97DC9">
        <w:rPr>
          <w:color w:val="000000" w:themeColor="text1"/>
          <w:szCs w:val="24"/>
        </w:rPr>
        <w:t>”).</w:t>
      </w:r>
      <w:r>
        <w:rPr>
          <w:color w:val="000000" w:themeColor="text1"/>
          <w:szCs w:val="24"/>
        </w:rPr>
        <w:t xml:space="preserve">  Payment of the </w:t>
      </w:r>
      <w:r w:rsidR="003C28DA">
        <w:rPr>
          <w:color w:val="000000" w:themeColor="text1"/>
          <w:szCs w:val="24"/>
        </w:rPr>
        <w:t xml:space="preserve">ERS </w:t>
      </w:r>
      <w:r>
        <w:rPr>
          <w:bCs/>
          <w:color w:val="000000" w:themeColor="text1"/>
          <w:szCs w:val="24"/>
        </w:rPr>
        <w:t>Recapture Payment shall cure any default related solely to an Implementation Failure occurring during the prior calendar year</w:t>
      </w:r>
      <w:r>
        <w:rPr>
          <w:color w:val="000000" w:themeColor="text1"/>
          <w:szCs w:val="24"/>
        </w:rPr>
        <w:t>.</w:t>
      </w:r>
    </w:p>
    <w:bookmarkEnd w:id="26"/>
    <w:bookmarkEnd w:id="27"/>
    <w:p w14:paraId="7CE71179" w14:textId="3D50C471" w:rsidR="007673ED" w:rsidRPr="005F2A1F" w:rsidRDefault="00FF08B6" w:rsidP="008D5C0F">
      <w:pPr>
        <w:pStyle w:val="BodyText"/>
        <w:overflowPunct/>
        <w:autoSpaceDE/>
        <w:autoSpaceDN/>
        <w:adjustRightInd/>
        <w:spacing w:after="600"/>
        <w:ind w:left="720" w:right="720" w:firstLine="720"/>
        <w:jc w:val="center"/>
        <w:textAlignment w:val="auto"/>
        <w:rPr>
          <w:color w:val="000000"/>
        </w:rPr>
      </w:pPr>
      <w:r>
        <w:rPr>
          <w:b/>
          <w:bCs/>
          <w:color w:val="000000"/>
        </w:rPr>
        <w:t>[Remainder of Page Intentionally Blank]</w:t>
      </w:r>
    </w:p>
    <w:sectPr w:rsidR="007673ED" w:rsidRPr="005F2A1F" w:rsidSect="002554A3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39E11" w14:textId="77777777" w:rsidR="00022A81" w:rsidRDefault="00022A81">
      <w:r>
        <w:separator/>
      </w:r>
    </w:p>
  </w:endnote>
  <w:endnote w:type="continuationSeparator" w:id="0">
    <w:p w14:paraId="063122A9" w14:textId="77777777" w:rsidR="00022A81" w:rsidRDefault="0002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A52E" w14:textId="77777777" w:rsidR="0000142B" w:rsidRPr="00BB40E1" w:rsidRDefault="00022A81" w:rsidP="0000142B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5F446B" w14:paraId="636A3505" w14:textId="77777777" w:rsidTr="00F3786E">
      <w:tc>
        <w:tcPr>
          <w:tcW w:w="4428" w:type="dxa"/>
          <w:shd w:val="clear" w:color="auto" w:fill="auto"/>
          <w:vAlign w:val="bottom"/>
        </w:tcPr>
        <w:p w14:paraId="07CAB6D2" w14:textId="77777777" w:rsidR="007673ED" w:rsidRPr="00855418" w:rsidRDefault="00FF08B6" w:rsidP="007673ED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>
            <w:rPr>
              <w:b/>
              <w:sz w:val="20"/>
            </w:rPr>
            <w:t>Healthy Housing Rewards</w:t>
          </w:r>
          <w:r w:rsidRPr="007673ED">
            <w:rPr>
              <w:b/>
              <w:sz w:val="20"/>
              <w:vertAlign w:val="superscript"/>
            </w:rPr>
            <w:t>TM</w:t>
          </w:r>
          <w:r>
            <w:rPr>
              <w:b/>
              <w:sz w:val="20"/>
              <w:vertAlign w:val="superscript"/>
            </w:rPr>
            <w:t xml:space="preserve"> </w:t>
          </w:r>
          <w:r w:rsidRPr="00A85D37">
            <w:rPr>
              <w:rFonts w:ascii="Times New Roman Bold" w:hAnsi="Times New Roman Bold"/>
              <w:b/>
              <w:sz w:val="20"/>
            </w:rPr>
            <w:t>– Enhanced Resident Services</w:t>
          </w:r>
          <w:r w:rsidRPr="007673ED">
            <w:rPr>
              <w:rFonts w:ascii="Times New Roman Bold" w:hAnsi="Times New Roman Bold"/>
              <w:b/>
              <w:sz w:val="20"/>
              <w:vertAlign w:val="superscript"/>
            </w:rPr>
            <w:t>TM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06D4595B" w14:textId="77777777" w:rsidR="007673ED" w:rsidRPr="00855418" w:rsidRDefault="00FF08B6" w:rsidP="007673ED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>
            <w:rPr>
              <w:b/>
              <w:sz w:val="20"/>
            </w:rPr>
            <w:t>63</w:t>
          </w:r>
        </w:p>
      </w:tc>
      <w:tc>
        <w:tcPr>
          <w:tcW w:w="3060" w:type="dxa"/>
          <w:shd w:val="clear" w:color="auto" w:fill="auto"/>
          <w:vAlign w:val="bottom"/>
        </w:tcPr>
        <w:p w14:paraId="1B749AFA" w14:textId="77777777" w:rsidR="007673ED" w:rsidRPr="00855418" w:rsidRDefault="00FF08B6" w:rsidP="007673ED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5F446B" w14:paraId="56307C75" w14:textId="77777777" w:rsidTr="00F3786E">
      <w:tc>
        <w:tcPr>
          <w:tcW w:w="4428" w:type="dxa"/>
          <w:shd w:val="clear" w:color="auto" w:fill="auto"/>
          <w:vAlign w:val="bottom"/>
        </w:tcPr>
        <w:p w14:paraId="7C80F69A" w14:textId="77777777" w:rsidR="007673ED" w:rsidRPr="00855418" w:rsidRDefault="00FF08B6" w:rsidP="007673ED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7A816076" w14:textId="5057F00D" w:rsidR="007673ED" w:rsidRPr="00855418" w:rsidRDefault="00CE0E0B" w:rsidP="007673ED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FF08B6">
            <w:rPr>
              <w:b/>
              <w:sz w:val="20"/>
            </w:rPr>
            <w:t>-22</w:t>
          </w:r>
        </w:p>
      </w:tc>
      <w:tc>
        <w:tcPr>
          <w:tcW w:w="3060" w:type="dxa"/>
          <w:shd w:val="clear" w:color="auto" w:fill="auto"/>
          <w:vAlign w:val="bottom"/>
        </w:tcPr>
        <w:p w14:paraId="505E8C12" w14:textId="77777777" w:rsidR="007673ED" w:rsidRPr="00855418" w:rsidRDefault="00FF08B6" w:rsidP="007673ED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2022</w:t>
          </w:r>
          <w:r w:rsidRPr="00855418">
            <w:rPr>
              <w:b/>
              <w:sz w:val="20"/>
            </w:rPr>
            <w:t xml:space="preserve"> Fannie Mae</w:t>
          </w:r>
        </w:p>
      </w:tc>
    </w:tr>
  </w:tbl>
  <w:p w14:paraId="1D238041" w14:textId="77777777" w:rsidR="007673ED" w:rsidRPr="00BB40E1" w:rsidRDefault="00022A81" w:rsidP="00767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A331D" w14:textId="77777777" w:rsidR="00AB05D9" w:rsidRPr="00BB40E1" w:rsidRDefault="00022A81" w:rsidP="00BB40E1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5F446B" w14:paraId="03EB5B46" w14:textId="77777777" w:rsidTr="0092148B">
      <w:tc>
        <w:tcPr>
          <w:tcW w:w="4428" w:type="dxa"/>
          <w:shd w:val="clear" w:color="auto" w:fill="auto"/>
          <w:vAlign w:val="bottom"/>
        </w:tcPr>
        <w:p w14:paraId="2A07B3C2" w14:textId="77777777" w:rsidR="00AB05D9" w:rsidRPr="00855418" w:rsidRDefault="00FF08B6" w:rsidP="007673ED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>
            <w:rPr>
              <w:b/>
              <w:sz w:val="20"/>
            </w:rPr>
            <w:t>Healthy Housing Rewards</w:t>
          </w:r>
          <w:r w:rsidRPr="007673ED">
            <w:rPr>
              <w:b/>
              <w:sz w:val="20"/>
              <w:vertAlign w:val="superscript"/>
            </w:rPr>
            <w:t>TM</w:t>
          </w:r>
          <w:r>
            <w:rPr>
              <w:b/>
              <w:sz w:val="20"/>
              <w:vertAlign w:val="superscript"/>
            </w:rPr>
            <w:t xml:space="preserve"> </w:t>
          </w:r>
          <w:r w:rsidRPr="00A85D37">
            <w:rPr>
              <w:rFonts w:ascii="Times New Roman Bold" w:hAnsi="Times New Roman Bold"/>
              <w:b/>
              <w:sz w:val="20"/>
            </w:rPr>
            <w:t>– Enhanced Resident Services</w:t>
          </w:r>
          <w:r w:rsidRPr="007673ED">
            <w:rPr>
              <w:rFonts w:ascii="Times New Roman Bold" w:hAnsi="Times New Roman Bold"/>
              <w:b/>
              <w:sz w:val="20"/>
              <w:vertAlign w:val="superscript"/>
            </w:rPr>
            <w:t>TM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0487D340" w14:textId="77777777" w:rsidR="00AB05D9" w:rsidRPr="00855418" w:rsidRDefault="00FF08B6" w:rsidP="00DE4FFD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>
            <w:rPr>
              <w:b/>
              <w:sz w:val="20"/>
            </w:rPr>
            <w:t>63</w:t>
          </w:r>
        </w:p>
      </w:tc>
      <w:tc>
        <w:tcPr>
          <w:tcW w:w="3060" w:type="dxa"/>
          <w:shd w:val="clear" w:color="auto" w:fill="auto"/>
          <w:vAlign w:val="bottom"/>
        </w:tcPr>
        <w:p w14:paraId="69BFF372" w14:textId="77777777" w:rsidR="00AB05D9" w:rsidRPr="00855418" w:rsidRDefault="00FF08B6" w:rsidP="00855418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noProof/>
              <w:sz w:val="20"/>
            </w:rPr>
            <w:t>1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5F446B" w14:paraId="413238EB" w14:textId="77777777" w:rsidTr="0092148B">
      <w:tc>
        <w:tcPr>
          <w:tcW w:w="4428" w:type="dxa"/>
          <w:shd w:val="clear" w:color="auto" w:fill="auto"/>
          <w:vAlign w:val="bottom"/>
        </w:tcPr>
        <w:p w14:paraId="77192D65" w14:textId="77777777" w:rsidR="00AB05D9" w:rsidRPr="00855418" w:rsidRDefault="00FF08B6" w:rsidP="00BB40E1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1BEF78E6" w14:textId="33933EE7" w:rsidR="00AB05D9" w:rsidRPr="00855418" w:rsidRDefault="00CE0E0B" w:rsidP="00FB2E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FF08B6">
            <w:rPr>
              <w:b/>
              <w:sz w:val="20"/>
            </w:rPr>
            <w:t>-22</w:t>
          </w:r>
        </w:p>
      </w:tc>
      <w:tc>
        <w:tcPr>
          <w:tcW w:w="3060" w:type="dxa"/>
          <w:shd w:val="clear" w:color="auto" w:fill="auto"/>
          <w:vAlign w:val="bottom"/>
        </w:tcPr>
        <w:p w14:paraId="4CFDD71C" w14:textId="77777777" w:rsidR="00AB05D9" w:rsidRPr="00855418" w:rsidRDefault="00FF08B6" w:rsidP="00F616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2022</w:t>
          </w:r>
          <w:r w:rsidRPr="00855418">
            <w:rPr>
              <w:b/>
              <w:sz w:val="20"/>
            </w:rPr>
            <w:t xml:space="preserve"> Fannie Mae</w:t>
          </w:r>
        </w:p>
      </w:tc>
    </w:tr>
  </w:tbl>
  <w:p w14:paraId="3EBE70DA" w14:textId="77777777" w:rsidR="00AB05D9" w:rsidRPr="00BB40E1" w:rsidRDefault="00022A81" w:rsidP="00BB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1758C" w14:textId="77777777" w:rsidR="00022A81" w:rsidRDefault="00022A81">
      <w:r>
        <w:separator/>
      </w:r>
    </w:p>
  </w:footnote>
  <w:footnote w:type="continuationSeparator" w:id="0">
    <w:p w14:paraId="19C2C6FF" w14:textId="77777777" w:rsidR="00022A81" w:rsidRDefault="0002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203D6" w14:textId="77777777" w:rsidR="005F2A1F" w:rsidRDefault="00FF08B6" w:rsidP="005F2A1F">
    <w:pPr>
      <w:pStyle w:val="Header"/>
      <w:spacing w:after="360"/>
      <w:rPr>
        <w:b/>
      </w:rPr>
    </w:pPr>
    <w:r w:rsidRPr="00223946">
      <w:rPr>
        <w:b/>
      </w:rPr>
      <w:t xml:space="preserve">[DRAFTING NOTE:  THIS FORM IS FOR USE WITH A MULTIFAMILY AFFORDABLE HOUSING (MAH) </w:t>
    </w:r>
    <w:r>
      <w:rPr>
        <w:b/>
      </w:rPr>
      <w:t xml:space="preserve">MORTGAGED </w:t>
    </w:r>
    <w:r w:rsidRPr="00223946">
      <w:rPr>
        <w:b/>
      </w:rPr>
      <w:t xml:space="preserve">PROPERTY WHERE AT LEAST </w:t>
    </w:r>
    <w:r>
      <w:rPr>
        <w:b/>
      </w:rPr>
      <w:t>50</w:t>
    </w:r>
    <w:r w:rsidRPr="00223946">
      <w:rPr>
        <w:b/>
      </w:rPr>
      <w:t xml:space="preserve">% OF THE UNITS SERVE RESIDENTS AT </w:t>
    </w:r>
    <w:r>
      <w:rPr>
        <w:b/>
      </w:rPr>
      <w:t>80</w:t>
    </w:r>
    <w:r w:rsidRPr="00223946">
      <w:rPr>
        <w:b/>
      </w:rPr>
      <w:t xml:space="preserve">% AMI OR LESS </w:t>
    </w:r>
    <w:r>
      <w:rPr>
        <w:b/>
      </w:rPr>
      <w:t xml:space="preserve">AND WHERE </w:t>
    </w:r>
    <w:r w:rsidRPr="00A85D37">
      <w:rPr>
        <w:b/>
      </w:rPr>
      <w:t xml:space="preserve">STEWARDS </w:t>
    </w:r>
    <w:r>
      <w:rPr>
        <w:b/>
      </w:rPr>
      <w:t xml:space="preserve">OF </w:t>
    </w:r>
    <w:r w:rsidRPr="00A85D37">
      <w:rPr>
        <w:b/>
      </w:rPr>
      <w:t>AFFORDABLE HOUSING</w:t>
    </w:r>
    <w:r w:rsidRPr="00223946">
      <w:rPr>
        <w:b/>
      </w:rPr>
      <w:t xml:space="preserve"> </w:t>
    </w:r>
    <w:r>
      <w:rPr>
        <w:b/>
      </w:rPr>
      <w:t>FOR THE FUTURE OR SUCH OTHER ENTITY APPROVED BY FANNIE MAE HAS CERTIFIED THE MORTGAGED PROPERTY AND THE APPLICABLE SPONSOR.]</w:t>
    </w:r>
  </w:p>
  <w:p w14:paraId="3CDA03C8" w14:textId="77777777" w:rsidR="005F2A1F" w:rsidRPr="00223946" w:rsidRDefault="00FF08B6" w:rsidP="005F2A1F">
    <w:pPr>
      <w:pStyle w:val="Header"/>
      <w:spacing w:after="360"/>
      <w:rPr>
        <w:b/>
      </w:rPr>
    </w:pPr>
    <w:r>
      <w:rPr>
        <w:b/>
      </w:rPr>
      <w:t>[DRAFTING NOTE:</w:t>
    </w:r>
    <w:r w:rsidRPr="00640050">
      <w:rPr>
        <w:b/>
        <w:szCs w:val="24"/>
      </w:rPr>
      <w:t xml:space="preserve"> </w:t>
    </w:r>
    <w:r>
      <w:rPr>
        <w:b/>
        <w:szCs w:val="24"/>
      </w:rPr>
      <w:t xml:space="preserve"> A </w:t>
    </w:r>
    <w:r w:rsidRPr="00783A80">
      <w:rPr>
        <w:b/>
        <w:szCs w:val="24"/>
      </w:rPr>
      <w:t>PAYMENT GUARANTY (PRICING INCENTIVE RECAPTURE)</w:t>
    </w:r>
    <w:r>
      <w:rPr>
        <w:b/>
        <w:szCs w:val="24"/>
      </w:rPr>
      <w:t xml:space="preserve"> (FORM 6020.PIR) MUST BE EXECUTED REGARDLESS OF THE PRICING AND UNDERWRITING TIER FOR THE MORTGAGE LOAN]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ascii="Kino MT" w:hAnsi="Kino MT"/>
        <w:b w:val="0"/>
        <w:i w:val="0"/>
        <w:caps w:val="0"/>
        <w:strike w:val="0"/>
        <w:dstrike w:val="0"/>
        <w:vanish w:val="0"/>
        <w:color w:val="000000"/>
        <w:sz w:val="24"/>
        <w:u w:val="no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b/>
        <w:i w:val="0"/>
        <w:caps w:val="0"/>
        <w:strike w:val="0"/>
        <w:dstrike w:val="0"/>
        <w:vanish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firstLine="2160"/>
      </w:pPr>
      <w:rPr>
        <w:rFonts w:ascii="Goudy Old Style" w:hAnsi="Goudy Old Style"/>
        <w:b w:val="0"/>
        <w:i w:val="0"/>
        <w:caps w:val="0"/>
        <w:strike w:val="0"/>
        <w:dstrike w:val="0"/>
        <w:vanish w:val="0"/>
        <w:color w:val="00000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firstLine="3600"/>
      </w:pPr>
      <w:rPr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u w:val="none"/>
      </w:rPr>
    </w:lvl>
  </w:abstractNum>
  <w:abstractNum w:abstractNumId="1" w15:restartNumberingAfterBreak="0">
    <w:nsid w:val="0D6933FD"/>
    <w:multiLevelType w:val="hybridMultilevel"/>
    <w:tmpl w:val="B540D096"/>
    <w:lvl w:ilvl="0" w:tplc="7700A2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61483D6" w:tentative="1">
      <w:start w:val="1"/>
      <w:numFmt w:val="lowerLetter"/>
      <w:lvlText w:val="%2."/>
      <w:lvlJc w:val="left"/>
      <w:pPr>
        <w:ind w:left="1440" w:hanging="360"/>
      </w:pPr>
    </w:lvl>
    <w:lvl w:ilvl="2" w:tplc="4C42190A" w:tentative="1">
      <w:start w:val="1"/>
      <w:numFmt w:val="lowerRoman"/>
      <w:lvlText w:val="%3."/>
      <w:lvlJc w:val="right"/>
      <w:pPr>
        <w:ind w:left="2160" w:hanging="180"/>
      </w:pPr>
    </w:lvl>
    <w:lvl w:ilvl="3" w:tplc="EA58D8C4" w:tentative="1">
      <w:start w:val="1"/>
      <w:numFmt w:val="decimal"/>
      <w:lvlText w:val="%4."/>
      <w:lvlJc w:val="left"/>
      <w:pPr>
        <w:ind w:left="2880" w:hanging="360"/>
      </w:pPr>
    </w:lvl>
    <w:lvl w:ilvl="4" w:tplc="5FD26CCC" w:tentative="1">
      <w:start w:val="1"/>
      <w:numFmt w:val="lowerLetter"/>
      <w:lvlText w:val="%5."/>
      <w:lvlJc w:val="left"/>
      <w:pPr>
        <w:ind w:left="3600" w:hanging="360"/>
      </w:pPr>
    </w:lvl>
    <w:lvl w:ilvl="5" w:tplc="6906AAE2" w:tentative="1">
      <w:start w:val="1"/>
      <w:numFmt w:val="lowerRoman"/>
      <w:lvlText w:val="%6."/>
      <w:lvlJc w:val="right"/>
      <w:pPr>
        <w:ind w:left="4320" w:hanging="180"/>
      </w:pPr>
    </w:lvl>
    <w:lvl w:ilvl="6" w:tplc="2C064A6C" w:tentative="1">
      <w:start w:val="1"/>
      <w:numFmt w:val="decimal"/>
      <w:lvlText w:val="%7."/>
      <w:lvlJc w:val="left"/>
      <w:pPr>
        <w:ind w:left="5040" w:hanging="360"/>
      </w:pPr>
    </w:lvl>
    <w:lvl w:ilvl="7" w:tplc="5E74F078" w:tentative="1">
      <w:start w:val="1"/>
      <w:numFmt w:val="lowerLetter"/>
      <w:lvlText w:val="%8."/>
      <w:lvlJc w:val="left"/>
      <w:pPr>
        <w:ind w:left="5760" w:hanging="360"/>
      </w:pPr>
    </w:lvl>
    <w:lvl w:ilvl="8" w:tplc="F2821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2B4A"/>
    <w:multiLevelType w:val="hybridMultilevel"/>
    <w:tmpl w:val="EEDAE794"/>
    <w:lvl w:ilvl="0" w:tplc="5E52F21E">
      <w:start w:val="1"/>
      <w:numFmt w:val="lowerLetter"/>
      <w:lvlText w:val="(%1)"/>
      <w:lvlJc w:val="left"/>
      <w:pPr>
        <w:ind w:left="2160" w:hanging="720"/>
      </w:pPr>
      <w:rPr>
        <w:rFonts w:ascii="Times New Roman" w:eastAsiaTheme="minorHAnsi" w:hAnsi="Times New Roman" w:cstheme="minorBidi"/>
        <w:color w:val="auto"/>
      </w:rPr>
    </w:lvl>
    <w:lvl w:ilvl="1" w:tplc="2470354C" w:tentative="1">
      <w:start w:val="1"/>
      <w:numFmt w:val="lowerLetter"/>
      <w:lvlText w:val="%2."/>
      <w:lvlJc w:val="left"/>
      <w:pPr>
        <w:ind w:left="2520" w:hanging="360"/>
      </w:pPr>
    </w:lvl>
    <w:lvl w:ilvl="2" w:tplc="F48C397A" w:tentative="1">
      <w:start w:val="1"/>
      <w:numFmt w:val="lowerRoman"/>
      <w:lvlText w:val="%3."/>
      <w:lvlJc w:val="right"/>
      <w:pPr>
        <w:ind w:left="3240" w:hanging="180"/>
      </w:pPr>
    </w:lvl>
    <w:lvl w:ilvl="3" w:tplc="88965552" w:tentative="1">
      <w:start w:val="1"/>
      <w:numFmt w:val="decimal"/>
      <w:lvlText w:val="%4."/>
      <w:lvlJc w:val="left"/>
      <w:pPr>
        <w:ind w:left="3960" w:hanging="360"/>
      </w:pPr>
    </w:lvl>
    <w:lvl w:ilvl="4" w:tplc="8140D83E" w:tentative="1">
      <w:start w:val="1"/>
      <w:numFmt w:val="lowerLetter"/>
      <w:lvlText w:val="%5."/>
      <w:lvlJc w:val="left"/>
      <w:pPr>
        <w:ind w:left="4680" w:hanging="360"/>
      </w:pPr>
    </w:lvl>
    <w:lvl w:ilvl="5" w:tplc="6C4C2D1C" w:tentative="1">
      <w:start w:val="1"/>
      <w:numFmt w:val="lowerRoman"/>
      <w:lvlText w:val="%6."/>
      <w:lvlJc w:val="right"/>
      <w:pPr>
        <w:ind w:left="5400" w:hanging="180"/>
      </w:pPr>
    </w:lvl>
    <w:lvl w:ilvl="6" w:tplc="D9148678" w:tentative="1">
      <w:start w:val="1"/>
      <w:numFmt w:val="decimal"/>
      <w:lvlText w:val="%7."/>
      <w:lvlJc w:val="left"/>
      <w:pPr>
        <w:ind w:left="6120" w:hanging="360"/>
      </w:pPr>
    </w:lvl>
    <w:lvl w:ilvl="7" w:tplc="0CD6B046" w:tentative="1">
      <w:start w:val="1"/>
      <w:numFmt w:val="lowerLetter"/>
      <w:lvlText w:val="%8."/>
      <w:lvlJc w:val="left"/>
      <w:pPr>
        <w:ind w:left="6840" w:hanging="360"/>
      </w:pPr>
    </w:lvl>
    <w:lvl w:ilvl="8" w:tplc="F2B6F7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881B52"/>
    <w:multiLevelType w:val="hybridMultilevel"/>
    <w:tmpl w:val="7E38A8EC"/>
    <w:lvl w:ilvl="0" w:tplc="90EC45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45ADA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FA8ED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9E492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A06B8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B50E4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332BA8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D4458D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6C8C3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604F2E"/>
    <w:multiLevelType w:val="multilevel"/>
    <w:tmpl w:val="251C0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6" w15:restartNumberingAfterBreak="0">
    <w:nsid w:val="5B35488E"/>
    <w:multiLevelType w:val="multilevel"/>
    <w:tmpl w:val="0504C99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29731C"/>
    <w:multiLevelType w:val="hybridMultilevel"/>
    <w:tmpl w:val="0504C998"/>
    <w:lvl w:ilvl="0" w:tplc="07A49FE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528824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AB40E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9875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5E59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06A8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2F41C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086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D078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F04468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6B"/>
    <w:rsid w:val="00022A81"/>
    <w:rsid w:val="00071B72"/>
    <w:rsid w:val="001048B7"/>
    <w:rsid w:val="0014490A"/>
    <w:rsid w:val="001A6988"/>
    <w:rsid w:val="001E55DF"/>
    <w:rsid w:val="002632A0"/>
    <w:rsid w:val="002761F9"/>
    <w:rsid w:val="002843EA"/>
    <w:rsid w:val="00293170"/>
    <w:rsid w:val="00390493"/>
    <w:rsid w:val="003B4912"/>
    <w:rsid w:val="003B4EE5"/>
    <w:rsid w:val="003C28DA"/>
    <w:rsid w:val="003D592F"/>
    <w:rsid w:val="003E4C76"/>
    <w:rsid w:val="003E77FA"/>
    <w:rsid w:val="00433EAA"/>
    <w:rsid w:val="00437849"/>
    <w:rsid w:val="004A6391"/>
    <w:rsid w:val="00590266"/>
    <w:rsid w:val="005B0AE9"/>
    <w:rsid w:val="005D28DE"/>
    <w:rsid w:val="005D4B94"/>
    <w:rsid w:val="005F06A1"/>
    <w:rsid w:val="005F446B"/>
    <w:rsid w:val="007E3E0F"/>
    <w:rsid w:val="00810D07"/>
    <w:rsid w:val="008324AC"/>
    <w:rsid w:val="0088359F"/>
    <w:rsid w:val="008D5C0F"/>
    <w:rsid w:val="00923A98"/>
    <w:rsid w:val="009249A1"/>
    <w:rsid w:val="009747DD"/>
    <w:rsid w:val="009E5AD0"/>
    <w:rsid w:val="00A27F74"/>
    <w:rsid w:val="00A910FD"/>
    <w:rsid w:val="00AB0F81"/>
    <w:rsid w:val="00AE5A52"/>
    <w:rsid w:val="00B356BB"/>
    <w:rsid w:val="00BA369A"/>
    <w:rsid w:val="00BA6A6B"/>
    <w:rsid w:val="00C6286F"/>
    <w:rsid w:val="00C9679F"/>
    <w:rsid w:val="00CB126F"/>
    <w:rsid w:val="00CB3BE1"/>
    <w:rsid w:val="00CE0851"/>
    <w:rsid w:val="00CE0E0B"/>
    <w:rsid w:val="00D46FD0"/>
    <w:rsid w:val="00DB0E39"/>
    <w:rsid w:val="00E63C66"/>
    <w:rsid w:val="00EB15ED"/>
    <w:rsid w:val="00EB263C"/>
    <w:rsid w:val="00ED1309"/>
    <w:rsid w:val="00ED60C7"/>
    <w:rsid w:val="00F9021F"/>
    <w:rsid w:val="00FD05A4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F2B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0E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outlineLvl w:val="0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720" w:hanging="720"/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2160" w:hanging="2160"/>
    </w:pPr>
  </w:style>
  <w:style w:type="table" w:styleId="TableGrid">
    <w:name w:val="Table Grid"/>
    <w:basedOn w:val="TableNormal"/>
    <w:rsid w:val="0087347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4B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40E1"/>
  </w:style>
  <w:style w:type="paragraph" w:styleId="BodyTextIndent3">
    <w:name w:val="Body Text Indent 3"/>
    <w:basedOn w:val="Normal"/>
    <w:rsid w:val="003D11E0"/>
    <w:pPr>
      <w:overflowPunct/>
      <w:autoSpaceDE/>
      <w:autoSpaceDN/>
      <w:adjustRightInd/>
      <w:spacing w:after="120"/>
      <w:ind w:left="360"/>
      <w:textAlignment w:val="auto"/>
    </w:pPr>
    <w:rPr>
      <w:sz w:val="16"/>
      <w:szCs w:val="16"/>
    </w:rPr>
  </w:style>
  <w:style w:type="character" w:styleId="CommentReference">
    <w:name w:val="annotation reference"/>
    <w:rsid w:val="00AB0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5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05D9"/>
  </w:style>
  <w:style w:type="paragraph" w:styleId="CommentSubject">
    <w:name w:val="annotation subject"/>
    <w:basedOn w:val="CommentText"/>
    <w:next w:val="CommentText"/>
    <w:link w:val="CommentSubjectChar"/>
    <w:rsid w:val="00AB05D9"/>
    <w:rPr>
      <w:b/>
      <w:bCs/>
    </w:rPr>
  </w:style>
  <w:style w:type="character" w:customStyle="1" w:styleId="CommentSubjectChar">
    <w:name w:val="Comment Subject Char"/>
    <w:link w:val="CommentSubject"/>
    <w:rsid w:val="00AB05D9"/>
    <w:rPr>
      <w:b/>
      <w:bCs/>
    </w:rPr>
  </w:style>
  <w:style w:type="character" w:customStyle="1" w:styleId="st1">
    <w:name w:val="st1"/>
    <w:basedOn w:val="DefaultParagraphFont"/>
    <w:rsid w:val="00B97168"/>
  </w:style>
  <w:style w:type="paragraph" w:styleId="BodyText">
    <w:name w:val="Body Text"/>
    <w:basedOn w:val="Normal"/>
    <w:link w:val="BodyTextChar"/>
    <w:rsid w:val="00223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946"/>
    <w:rPr>
      <w:sz w:val="24"/>
    </w:rPr>
  </w:style>
  <w:style w:type="paragraph" w:customStyle="1" w:styleId="Subject">
    <w:name w:val="Subject"/>
    <w:basedOn w:val="Normal"/>
    <w:rsid w:val="00223946"/>
    <w:pPr>
      <w:overflowPunct/>
      <w:autoSpaceDE/>
      <w:autoSpaceDN/>
      <w:adjustRightInd/>
      <w:jc w:val="left"/>
      <w:textAlignment w:val="auto"/>
    </w:pPr>
  </w:style>
  <w:style w:type="paragraph" w:styleId="ListParagraph">
    <w:name w:val="List Paragraph"/>
    <w:basedOn w:val="Normal"/>
    <w:uiPriority w:val="34"/>
    <w:qFormat/>
    <w:rsid w:val="00223946"/>
    <w:pPr>
      <w:overflowPunct/>
      <w:autoSpaceDE/>
      <w:autoSpaceDN/>
      <w:adjustRightInd/>
      <w:spacing w:after="240"/>
      <w:ind w:left="720"/>
      <w:contextualSpacing/>
      <w:jc w:val="left"/>
      <w:textAlignment w:val="auto"/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rsid w:val="0000142B"/>
    <w:rPr>
      <w:sz w:val="24"/>
    </w:rPr>
  </w:style>
  <w:style w:type="paragraph" w:styleId="Revision">
    <w:name w:val="Revision"/>
    <w:hidden/>
    <w:uiPriority w:val="99"/>
    <w:semiHidden/>
    <w:rsid w:val="00E825ED"/>
    <w:rPr>
      <w:sz w:val="24"/>
    </w:rPr>
  </w:style>
  <w:style w:type="character" w:customStyle="1" w:styleId="HeaderChar">
    <w:name w:val="Header Char"/>
    <w:basedOn w:val="DefaultParagraphFont"/>
    <w:link w:val="Header"/>
    <w:rsid w:val="005F2A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4732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6263</vt:lpstr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6263</dc:title>
  <dc:subject>Modifications to Multifamily Loan and Security Agreement (Healthy Housing Rewards - Enhanced Residence Services)</dc:subject>
  <dc:creator/>
  <cp:lastModifiedBy/>
  <cp:revision>1</cp:revision>
  <dcterms:created xsi:type="dcterms:W3CDTF">2022-06-08T16:19:00Z</dcterms:created>
  <dcterms:modified xsi:type="dcterms:W3CDTF">2022-06-08T16:20:00Z</dcterms:modified>
</cp:coreProperties>
</file>