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697E" w14:textId="77777777" w:rsidR="00947044" w:rsidRPr="001E321F" w:rsidRDefault="00947044" w:rsidP="00947044">
      <w:pPr>
        <w:widowControl/>
        <w:suppressAutoHyphens/>
        <w:spacing w:after="240"/>
        <w:jc w:val="center"/>
        <w:rPr>
          <w:b/>
        </w:rPr>
      </w:pPr>
      <w:r>
        <w:rPr>
          <w:b/>
        </w:rPr>
        <w:t>EXHIBIT </w:t>
      </w:r>
      <w:r w:rsidRPr="001E321F">
        <w:rPr>
          <w:b/>
        </w:rPr>
        <w:t>[__]</w:t>
      </w:r>
    </w:p>
    <w:p w14:paraId="16C6D8AC" w14:textId="77777777" w:rsidR="00947044" w:rsidRPr="001E321F" w:rsidRDefault="00947044" w:rsidP="00947044">
      <w:pPr>
        <w:widowControl/>
        <w:suppressAutoHyphens/>
        <w:jc w:val="center"/>
        <w:rPr>
          <w:b/>
        </w:rPr>
      </w:pPr>
      <w:r w:rsidRPr="001E321F">
        <w:rPr>
          <w:b/>
        </w:rPr>
        <w:t>MODIFICATIONS TO MULTIFAMILY LOAN AND SECURITY AGREEMENT</w:t>
      </w:r>
    </w:p>
    <w:p w14:paraId="6573066A" w14:textId="77777777" w:rsidR="00947044" w:rsidRPr="001E321F" w:rsidRDefault="00947044" w:rsidP="00947044">
      <w:pPr>
        <w:widowControl/>
        <w:suppressAutoHyphens/>
        <w:spacing w:after="360"/>
        <w:jc w:val="center"/>
        <w:rPr>
          <w:b/>
        </w:rPr>
      </w:pPr>
      <w:r w:rsidRPr="001E321F">
        <w:rPr>
          <w:b/>
        </w:rPr>
        <w:t>(</w:t>
      </w:r>
      <w:r>
        <w:rPr>
          <w:b/>
        </w:rPr>
        <w:t>1031 Exchange</w:t>
      </w:r>
      <w:r w:rsidRPr="001E321F">
        <w:rPr>
          <w:b/>
        </w:rPr>
        <w:t>)</w:t>
      </w:r>
    </w:p>
    <w:p w14:paraId="08C9F8BD" w14:textId="77777777" w:rsidR="00947044" w:rsidRPr="001E321F" w:rsidRDefault="00947044" w:rsidP="00947044">
      <w:pPr>
        <w:widowControl/>
        <w:suppressAutoHyphens/>
        <w:spacing w:after="240"/>
        <w:ind w:firstLine="720"/>
        <w:jc w:val="both"/>
        <w:rPr>
          <w:szCs w:val="24"/>
        </w:rPr>
      </w:pPr>
      <w:r w:rsidRPr="001E321F">
        <w:rPr>
          <w:szCs w:val="24"/>
        </w:rPr>
        <w:t>The foregoing Loan Agreement is hereby modified as follows:</w:t>
      </w:r>
    </w:p>
    <w:p w14:paraId="4758112C" w14:textId="77777777" w:rsidR="00947044" w:rsidRPr="001E321F" w:rsidRDefault="00947044" w:rsidP="00947044">
      <w:pPr>
        <w:widowControl/>
        <w:numPr>
          <w:ilvl w:val="0"/>
          <w:numId w:val="11"/>
        </w:numPr>
        <w:suppressAutoHyphens/>
        <w:spacing w:after="240"/>
        <w:jc w:val="both"/>
      </w:pPr>
      <w:r w:rsidRPr="001E321F">
        <w:t>Capitalized terms used and not specifically defined herein have the meanings given to such terms in the Loan Agreement.</w:t>
      </w:r>
    </w:p>
    <w:p w14:paraId="1897ACC3" w14:textId="77777777" w:rsidR="00947044" w:rsidRDefault="00947044" w:rsidP="00947044">
      <w:pPr>
        <w:widowControl/>
        <w:numPr>
          <w:ilvl w:val="0"/>
          <w:numId w:val="11"/>
        </w:numPr>
        <w:suppressAutoHyphens/>
        <w:spacing w:after="240"/>
        <w:jc w:val="both"/>
      </w:pPr>
      <w:r w:rsidRPr="001E321F">
        <w:t xml:space="preserve">The </w:t>
      </w:r>
      <w:r w:rsidRPr="00F543F0">
        <w:rPr>
          <w:u w:val="single"/>
        </w:rPr>
        <w:t>Definitions Schedule</w:t>
      </w:r>
      <w:r w:rsidRPr="001E321F">
        <w:t xml:space="preserve"> is hereby amended by adding the following new definitions in the appropriate alphabetical order:</w:t>
      </w:r>
    </w:p>
    <w:p w14:paraId="0DCB7E46" w14:textId="77777777" w:rsidR="00947044" w:rsidRPr="0001014B" w:rsidRDefault="00947044" w:rsidP="00947044">
      <w:pPr>
        <w:widowControl/>
        <w:suppressAutoHyphens/>
        <w:spacing w:after="240"/>
        <w:ind w:left="720" w:right="720"/>
        <w:jc w:val="both"/>
        <w:rPr>
          <w:szCs w:val="24"/>
          <w:lang w:bidi="he-IL"/>
        </w:rPr>
      </w:pPr>
      <w:r w:rsidRPr="0001014B">
        <w:rPr>
          <w:szCs w:val="24"/>
          <w:lang w:bidi="he-IL"/>
        </w:rPr>
        <w:t>“</w:t>
      </w:r>
      <w:r w:rsidRPr="0001014B">
        <w:rPr>
          <w:b/>
          <w:szCs w:val="24"/>
          <w:lang w:bidi="he-IL"/>
        </w:rPr>
        <w:t>Exchange Accommodator</w:t>
      </w:r>
      <w:r w:rsidRPr="0001014B">
        <w:rPr>
          <w:szCs w:val="24"/>
          <w:lang w:bidi="he-IL"/>
        </w:rPr>
        <w:t>” means [___________].</w:t>
      </w:r>
    </w:p>
    <w:p w14:paraId="52B7F734" w14:textId="77777777" w:rsidR="00947044" w:rsidRPr="0001014B" w:rsidRDefault="00947044" w:rsidP="00947044">
      <w:pPr>
        <w:widowControl/>
        <w:suppressAutoHyphens/>
        <w:spacing w:after="240"/>
        <w:ind w:left="720" w:right="720"/>
        <w:jc w:val="both"/>
        <w:rPr>
          <w:szCs w:val="24"/>
          <w:lang w:bidi="he-IL"/>
        </w:rPr>
      </w:pPr>
      <w:r>
        <w:rPr>
          <w:szCs w:val="24"/>
          <w:lang w:bidi="he-IL"/>
        </w:rPr>
        <w:t>[</w:t>
      </w:r>
      <w:r w:rsidRPr="0001014B">
        <w:rPr>
          <w:szCs w:val="24"/>
          <w:lang w:bidi="he-IL"/>
        </w:rPr>
        <w:t>“</w:t>
      </w:r>
      <w:r w:rsidRPr="0001014B">
        <w:rPr>
          <w:b/>
          <w:szCs w:val="24"/>
          <w:lang w:bidi="he-IL"/>
        </w:rPr>
        <w:t>Exchange Loan</w:t>
      </w:r>
      <w:r w:rsidRPr="0001014B">
        <w:rPr>
          <w:szCs w:val="24"/>
          <w:lang w:bidi="he-IL"/>
        </w:rPr>
        <w:t xml:space="preserve">” </w:t>
      </w:r>
      <w:r>
        <w:rPr>
          <w:szCs w:val="24"/>
          <w:lang w:bidi="he-IL"/>
        </w:rPr>
        <w:t>means the equity funds lent by Key Principal to the sole member of Borrower for the acquisition of the Mortgaged Property in connection with the Reverse Exchange.</w:t>
      </w:r>
      <w:r w:rsidRPr="0001014B">
        <w:rPr>
          <w:szCs w:val="24"/>
          <w:lang w:bidi="he-IL"/>
        </w:rPr>
        <w:t xml:space="preserve"> </w:t>
      </w:r>
      <w:r w:rsidRPr="00781570">
        <w:rPr>
          <w:b/>
          <w:szCs w:val="24"/>
          <w:lang w:bidi="he-IL"/>
        </w:rPr>
        <w:t xml:space="preserve">[DRAFTING NOTE: </w:t>
      </w:r>
      <w:r>
        <w:rPr>
          <w:b/>
          <w:szCs w:val="24"/>
          <w:lang w:bidi="he-IL"/>
        </w:rPr>
        <w:t>DELETE OR REVISE AS NEEDED</w:t>
      </w:r>
      <w:r w:rsidRPr="00781570">
        <w:rPr>
          <w:b/>
          <w:szCs w:val="24"/>
          <w:lang w:bidi="he-IL"/>
        </w:rPr>
        <w:t>]</w:t>
      </w:r>
      <w:r>
        <w:rPr>
          <w:b/>
          <w:szCs w:val="24"/>
          <w:lang w:bidi="he-IL"/>
        </w:rPr>
        <w:t>]</w:t>
      </w:r>
    </w:p>
    <w:p w14:paraId="7693736F" w14:textId="77777777" w:rsidR="00947044" w:rsidRPr="0001014B" w:rsidRDefault="00947044" w:rsidP="00947044">
      <w:pPr>
        <w:widowControl/>
        <w:suppressAutoHyphens/>
        <w:spacing w:after="240"/>
        <w:ind w:left="720" w:right="720"/>
        <w:jc w:val="both"/>
        <w:rPr>
          <w:szCs w:val="24"/>
          <w:lang w:bidi="he-IL"/>
        </w:rPr>
      </w:pPr>
      <w:r>
        <w:rPr>
          <w:szCs w:val="24"/>
          <w:lang w:bidi="he-IL"/>
        </w:rPr>
        <w:t>[</w:t>
      </w:r>
      <w:r w:rsidRPr="0001014B">
        <w:rPr>
          <w:szCs w:val="24"/>
          <w:lang w:bidi="he-IL"/>
        </w:rPr>
        <w:t>“</w:t>
      </w:r>
      <w:r w:rsidRPr="0001014B">
        <w:rPr>
          <w:b/>
          <w:szCs w:val="24"/>
          <w:lang w:bidi="he-IL"/>
        </w:rPr>
        <w:t>Exchange Loan Documentation</w:t>
      </w:r>
      <w:r w:rsidRPr="0001014B">
        <w:rPr>
          <w:szCs w:val="24"/>
          <w:lang w:bidi="he-IL"/>
        </w:rPr>
        <w:t xml:space="preserve">” </w:t>
      </w:r>
      <w:r>
        <w:rPr>
          <w:szCs w:val="24"/>
          <w:lang w:bidi="he-IL"/>
        </w:rPr>
        <w:t>means the promissory note evidencing the Exchange Loan and the pledge of ownership interests in Borrower securing the Exchange Loan</w:t>
      </w:r>
      <w:r w:rsidRPr="0001014B">
        <w:rPr>
          <w:szCs w:val="24"/>
          <w:lang w:bidi="he-IL"/>
        </w:rPr>
        <w:t xml:space="preserve">. </w:t>
      </w:r>
      <w:r w:rsidRPr="00781570">
        <w:rPr>
          <w:b/>
          <w:szCs w:val="24"/>
          <w:lang w:bidi="he-IL"/>
        </w:rPr>
        <w:t xml:space="preserve">[DRAFTING NOTE: </w:t>
      </w:r>
      <w:r>
        <w:rPr>
          <w:b/>
          <w:szCs w:val="24"/>
          <w:lang w:bidi="he-IL"/>
        </w:rPr>
        <w:t>DELETE OR REVISE AS NEEDED</w:t>
      </w:r>
      <w:r w:rsidRPr="00781570">
        <w:rPr>
          <w:b/>
          <w:szCs w:val="24"/>
          <w:lang w:bidi="he-IL"/>
        </w:rPr>
        <w:t>]</w:t>
      </w:r>
      <w:r>
        <w:rPr>
          <w:b/>
          <w:szCs w:val="24"/>
          <w:lang w:bidi="he-IL"/>
        </w:rPr>
        <w:t>]</w:t>
      </w:r>
    </w:p>
    <w:p w14:paraId="11C05899" w14:textId="77777777" w:rsidR="00947044" w:rsidRPr="0001014B" w:rsidRDefault="00947044" w:rsidP="00947044">
      <w:pPr>
        <w:widowControl/>
        <w:suppressAutoHyphens/>
        <w:spacing w:after="240"/>
        <w:ind w:left="720" w:right="720"/>
        <w:jc w:val="both"/>
        <w:rPr>
          <w:szCs w:val="24"/>
          <w:lang w:bidi="he-IL"/>
        </w:rPr>
      </w:pPr>
      <w:r>
        <w:rPr>
          <w:szCs w:val="24"/>
          <w:lang w:bidi="he-IL"/>
        </w:rPr>
        <w:t>[</w:t>
      </w:r>
      <w:r w:rsidRPr="0001014B">
        <w:rPr>
          <w:szCs w:val="24"/>
          <w:lang w:bidi="he-IL"/>
        </w:rPr>
        <w:t>“</w:t>
      </w:r>
      <w:r w:rsidRPr="0001014B">
        <w:rPr>
          <w:b/>
          <w:szCs w:val="24"/>
          <w:lang w:bidi="he-IL"/>
        </w:rPr>
        <w:t>Exchange Operating Lease</w:t>
      </w:r>
      <w:r w:rsidRPr="0001014B">
        <w:rPr>
          <w:szCs w:val="24"/>
          <w:lang w:bidi="he-IL"/>
        </w:rPr>
        <w:t>” means that certain [__________</w:t>
      </w:r>
      <w:r>
        <w:rPr>
          <w:szCs w:val="24"/>
          <w:lang w:bidi="he-IL"/>
        </w:rPr>
        <w:t xml:space="preserve">_____] dated as of [__________] </w:t>
      </w:r>
      <w:r w:rsidRPr="0001014B">
        <w:rPr>
          <w:szCs w:val="24"/>
          <w:lang w:bidi="he-IL"/>
        </w:rPr>
        <w:t>between Exchange Accommodator, as landlord, and Borrower, as tenant, pursuant to which Borrower master leases the Mortgaged Property from Exchange Accommodator.</w:t>
      </w:r>
      <w:r w:rsidRPr="006F612C">
        <w:rPr>
          <w:b/>
          <w:szCs w:val="24"/>
          <w:lang w:bidi="he-IL"/>
        </w:rPr>
        <w:t xml:space="preserve"> </w:t>
      </w:r>
      <w:r w:rsidRPr="00781570">
        <w:rPr>
          <w:b/>
          <w:szCs w:val="24"/>
          <w:lang w:bidi="he-IL"/>
        </w:rPr>
        <w:t xml:space="preserve">[DRAFTING NOTE: </w:t>
      </w:r>
      <w:r w:rsidR="00820DC9">
        <w:rPr>
          <w:b/>
          <w:szCs w:val="24"/>
          <w:lang w:bidi="he-IL"/>
        </w:rPr>
        <w:t xml:space="preserve">DELETE OR REVISE AS NEEDED; </w:t>
      </w:r>
      <w:r>
        <w:rPr>
          <w:b/>
          <w:szCs w:val="24"/>
          <w:lang w:bidi="he-IL"/>
        </w:rPr>
        <w:t>EXCHANGE OPERATOR AND BORROWER MUST EXECUTE A FORM 6446.ML SUBORDINATION, ASSIGNMENT AND SECURITY AGREEMENT IN CONNECTION WITH ANY EXCHANGE OPERATING LEASE]</w:t>
      </w:r>
      <w:r>
        <w:rPr>
          <w:szCs w:val="24"/>
          <w:lang w:bidi="he-IL"/>
        </w:rPr>
        <w:t>]</w:t>
      </w:r>
    </w:p>
    <w:p w14:paraId="1B138F05" w14:textId="77777777" w:rsidR="00947044" w:rsidRPr="0001014B" w:rsidRDefault="00947044" w:rsidP="00947044">
      <w:pPr>
        <w:widowControl/>
        <w:suppressAutoHyphens/>
        <w:spacing w:after="240"/>
        <w:ind w:left="720" w:right="720"/>
        <w:jc w:val="both"/>
        <w:rPr>
          <w:szCs w:val="24"/>
          <w:lang w:bidi="he-IL"/>
        </w:rPr>
      </w:pPr>
      <w:r w:rsidRPr="0001014B">
        <w:rPr>
          <w:szCs w:val="24"/>
          <w:lang w:bidi="he-IL"/>
        </w:rPr>
        <w:t>“</w:t>
      </w:r>
      <w:r w:rsidRPr="0001014B">
        <w:rPr>
          <w:b/>
          <w:szCs w:val="24"/>
          <w:lang w:bidi="he-IL"/>
        </w:rPr>
        <w:t>Exchange Permitted Transfer</w:t>
      </w:r>
      <w:r w:rsidRPr="0001014B">
        <w:rPr>
          <w:szCs w:val="24"/>
          <w:lang w:bidi="he-IL"/>
        </w:rPr>
        <w:t xml:space="preserve">” </w:t>
      </w:r>
      <w:r>
        <w:rPr>
          <w:szCs w:val="24"/>
          <w:lang w:bidi="he-IL"/>
        </w:rPr>
        <w:t xml:space="preserve">means </w:t>
      </w:r>
      <w:r w:rsidRPr="0001014B">
        <w:rPr>
          <w:szCs w:val="24"/>
          <w:lang w:bidi="he-IL"/>
        </w:rPr>
        <w:t>[__________]</w:t>
      </w:r>
      <w:r>
        <w:rPr>
          <w:szCs w:val="24"/>
          <w:lang w:bidi="he-IL"/>
        </w:rPr>
        <w:t xml:space="preserve">. </w:t>
      </w:r>
      <w:r w:rsidRPr="003A0327">
        <w:rPr>
          <w:b/>
          <w:szCs w:val="24"/>
          <w:lang w:bidi="he-IL"/>
        </w:rPr>
        <w:t xml:space="preserve">[DRAFTING NOTE: DESCRIBE </w:t>
      </w:r>
      <w:r>
        <w:rPr>
          <w:b/>
          <w:szCs w:val="24"/>
          <w:lang w:bidi="he-IL"/>
        </w:rPr>
        <w:t xml:space="preserve">EXCHANGE </w:t>
      </w:r>
      <w:r w:rsidRPr="003A0327">
        <w:rPr>
          <w:b/>
          <w:szCs w:val="24"/>
          <w:lang w:bidi="he-IL"/>
        </w:rPr>
        <w:t>TRANSFER]</w:t>
      </w:r>
    </w:p>
    <w:p w14:paraId="58627773" w14:textId="77777777" w:rsidR="00947044" w:rsidRPr="0001014B" w:rsidRDefault="00947044" w:rsidP="00947044">
      <w:pPr>
        <w:widowControl/>
        <w:suppressAutoHyphens/>
        <w:spacing w:after="240"/>
        <w:ind w:left="720" w:right="720"/>
        <w:jc w:val="both"/>
        <w:rPr>
          <w:szCs w:val="24"/>
          <w:lang w:bidi="he-IL"/>
        </w:rPr>
      </w:pPr>
      <w:r w:rsidRPr="0001014B">
        <w:rPr>
          <w:szCs w:val="24"/>
          <w:lang w:bidi="he-IL"/>
        </w:rPr>
        <w:t>“</w:t>
      </w:r>
      <w:r w:rsidRPr="0001014B">
        <w:rPr>
          <w:b/>
          <w:szCs w:val="24"/>
          <w:lang w:bidi="he-IL"/>
        </w:rPr>
        <w:t>Exchange Termination Date</w:t>
      </w:r>
      <w:r w:rsidRPr="0001014B">
        <w:rPr>
          <w:szCs w:val="24"/>
          <w:lang w:bidi="he-IL"/>
        </w:rPr>
        <w:t xml:space="preserve">” means [__________]. </w:t>
      </w:r>
      <w:r w:rsidRPr="00781570">
        <w:rPr>
          <w:b/>
          <w:szCs w:val="24"/>
          <w:lang w:bidi="he-IL"/>
        </w:rPr>
        <w:t>[DRAFTING NOTE: TYPICALLY 180 TO 240 DAYS AFTER THE EFFECTIVE DATE]</w:t>
      </w:r>
    </w:p>
    <w:p w14:paraId="548D5F4D" w14:textId="77777777" w:rsidR="00947044" w:rsidRDefault="00947044" w:rsidP="00947044">
      <w:pPr>
        <w:widowControl/>
        <w:suppressAutoHyphens/>
        <w:spacing w:after="240"/>
        <w:ind w:left="720" w:right="720"/>
        <w:jc w:val="both"/>
        <w:rPr>
          <w:szCs w:val="24"/>
          <w:lang w:bidi="he-IL"/>
        </w:rPr>
      </w:pPr>
      <w:r w:rsidRPr="0001014B">
        <w:rPr>
          <w:szCs w:val="24"/>
          <w:lang w:bidi="he-IL"/>
        </w:rPr>
        <w:t>“</w:t>
      </w:r>
      <w:r w:rsidRPr="0001014B">
        <w:rPr>
          <w:b/>
          <w:szCs w:val="24"/>
          <w:lang w:bidi="he-IL"/>
        </w:rPr>
        <w:t>Reverse Exchange</w:t>
      </w:r>
      <w:r w:rsidRPr="0001014B">
        <w:rPr>
          <w:szCs w:val="24"/>
          <w:lang w:bidi="he-IL"/>
        </w:rPr>
        <w:t xml:space="preserve">” means [_______________]. </w:t>
      </w:r>
      <w:r w:rsidRPr="00781570">
        <w:rPr>
          <w:b/>
          <w:szCs w:val="24"/>
          <w:lang w:bidi="he-IL"/>
        </w:rPr>
        <w:t>[DRAFTING NOTE: DESCRIBE 1031 EXCHANGE]</w:t>
      </w:r>
    </w:p>
    <w:p w14:paraId="4E8DF5B9" w14:textId="77777777" w:rsidR="00820DC9" w:rsidRPr="00820DC9" w:rsidRDefault="00820DC9" w:rsidP="00947044">
      <w:pPr>
        <w:widowControl/>
        <w:suppressAutoHyphens/>
        <w:spacing w:after="240"/>
        <w:ind w:left="720" w:right="720"/>
        <w:jc w:val="both"/>
        <w:rPr>
          <w:b/>
          <w:szCs w:val="24"/>
          <w:lang w:bidi="he-IL"/>
        </w:rPr>
      </w:pPr>
      <w:r>
        <w:rPr>
          <w:szCs w:val="24"/>
          <w:lang w:bidi="he-IL"/>
        </w:rPr>
        <w:t>[“</w:t>
      </w:r>
      <w:r>
        <w:rPr>
          <w:b/>
          <w:szCs w:val="24"/>
          <w:lang w:bidi="he-IL"/>
        </w:rPr>
        <w:t>SASA</w:t>
      </w:r>
      <w:r>
        <w:rPr>
          <w:szCs w:val="24"/>
          <w:lang w:bidi="he-IL"/>
        </w:rPr>
        <w:t xml:space="preserve">” means that certain Subordination, Assignment and Security Agreement by and among Borrower, Lender, and Exchange Accommodator as amended, restated, replaced, supplemented, or otherwise modified from time to time.] </w:t>
      </w:r>
      <w:r>
        <w:rPr>
          <w:b/>
          <w:szCs w:val="24"/>
          <w:lang w:bidi="he-IL"/>
        </w:rPr>
        <w:t>[DRAFTING NOTE: DELETE IF NOT APPLICABLE]</w:t>
      </w:r>
    </w:p>
    <w:p w14:paraId="37189180" w14:textId="77777777" w:rsidR="00947044" w:rsidRPr="00C30396" w:rsidRDefault="00947044" w:rsidP="00947044">
      <w:pPr>
        <w:widowControl/>
        <w:numPr>
          <w:ilvl w:val="0"/>
          <w:numId w:val="11"/>
        </w:numPr>
        <w:tabs>
          <w:tab w:val="left" w:pos="-720"/>
        </w:tabs>
        <w:suppressAutoHyphens/>
        <w:spacing w:after="240"/>
        <w:jc w:val="both"/>
      </w:pPr>
      <w:r w:rsidRPr="00C30396">
        <w:lastRenderedPageBreak/>
        <w:t>The definition of “</w:t>
      </w:r>
      <w:r>
        <w:t>Borrower</w:t>
      </w:r>
      <w:r w:rsidRPr="00C30396">
        <w:t xml:space="preserve">” in the </w:t>
      </w:r>
      <w:r w:rsidRPr="00F543F0">
        <w:rPr>
          <w:u w:val="single"/>
        </w:rPr>
        <w:t>Definitions Schedule</w:t>
      </w:r>
      <w:r w:rsidRPr="00C30396">
        <w:t xml:space="preserve"> </w:t>
      </w:r>
      <w:r>
        <w:t xml:space="preserve">is </w:t>
      </w:r>
      <w:r w:rsidRPr="00C30396">
        <w:t xml:space="preserve">hereby deleted and restated in </w:t>
      </w:r>
      <w:r>
        <w:t>its</w:t>
      </w:r>
      <w:r w:rsidRPr="00C30396">
        <w:t xml:space="preserve"> entirety to read as follows:</w:t>
      </w:r>
    </w:p>
    <w:p w14:paraId="4492A66E" w14:textId="77777777" w:rsidR="00947044" w:rsidRDefault="00947044" w:rsidP="00947044">
      <w:pPr>
        <w:widowControl/>
        <w:suppressAutoHyphens/>
        <w:spacing w:after="240"/>
        <w:ind w:left="720" w:right="720"/>
        <w:jc w:val="both"/>
      </w:pPr>
      <w:r>
        <w:rPr>
          <w:szCs w:val="24"/>
        </w:rPr>
        <w:t>“</w:t>
      </w:r>
      <w:r w:rsidRPr="00F14631">
        <w:rPr>
          <w:b/>
          <w:szCs w:val="24"/>
        </w:rPr>
        <w:t>Borrower</w:t>
      </w:r>
      <w:r>
        <w:rPr>
          <w:szCs w:val="24"/>
        </w:rPr>
        <w:t>”</w:t>
      </w:r>
      <w:r w:rsidRPr="00F14631">
        <w:rPr>
          <w:szCs w:val="24"/>
        </w:rPr>
        <w:t xml:space="preserve"> </w:t>
      </w:r>
      <w:r>
        <w:rPr>
          <w:szCs w:val="24"/>
        </w:rPr>
        <w:t xml:space="preserve">means, together, (a) individually (and </w:t>
      </w:r>
      <w:r w:rsidRPr="007E0F50">
        <w:rPr>
          <w:szCs w:val="24"/>
          <w:lang w:bidi="he-IL"/>
        </w:rPr>
        <w:t xml:space="preserve">jointly and severally (solidarily instead for purposes of </w:t>
      </w:r>
      <w:smartTag w:uri="schemas-workshare-com/workshare" w:element="PolicySmartTags.CWSPolicyTagAction_4">
        <w:r w:rsidRPr="007E0F50">
          <w:rPr>
            <w:szCs w:val="24"/>
            <w:lang w:bidi="he-IL"/>
          </w:rPr>
          <w:t>Louisiana</w:t>
        </w:r>
      </w:smartTag>
      <w:r w:rsidRPr="007E0F50">
        <w:rPr>
          <w:szCs w:val="24"/>
          <w:lang w:bidi="he-IL"/>
        </w:rPr>
        <w:t xml:space="preserve"> law)</w:t>
      </w:r>
      <w:r>
        <w:rPr>
          <w:szCs w:val="24"/>
        </w:rPr>
        <w:t xml:space="preserve"> if more than one),</w:t>
      </w:r>
      <w:r w:rsidRPr="00F14631">
        <w:rPr>
          <w:szCs w:val="24"/>
        </w:rPr>
        <w:t xml:space="preserve"> the entity </w:t>
      </w:r>
      <w:r>
        <w:rPr>
          <w:szCs w:val="24"/>
        </w:rPr>
        <w:t xml:space="preserve">(or entities) </w:t>
      </w:r>
      <w:r w:rsidRPr="00F14631">
        <w:rPr>
          <w:szCs w:val="24"/>
        </w:rPr>
        <w:t xml:space="preserve">identified as </w:t>
      </w:r>
      <w:r>
        <w:rPr>
          <w:szCs w:val="24"/>
        </w:rPr>
        <w:t>“</w:t>
      </w:r>
      <w:r w:rsidRPr="00F14631">
        <w:rPr>
          <w:szCs w:val="24"/>
        </w:rPr>
        <w:t>Borrower</w:t>
      </w:r>
      <w:r>
        <w:rPr>
          <w:szCs w:val="24"/>
        </w:rPr>
        <w:t>”</w:t>
      </w:r>
      <w:r w:rsidRPr="00F14631">
        <w:rPr>
          <w:szCs w:val="24"/>
        </w:rPr>
        <w:t xml:space="preserve"> in the first paragraph of </w:t>
      </w:r>
      <w:r>
        <w:rPr>
          <w:szCs w:val="24"/>
        </w:rPr>
        <w:t>the Loan Agreement, and/or (b) from the Effective Date until the completion of the Exchange Permitted Transfer, the Exchange Accommodator</w:t>
      </w:r>
      <w:r w:rsidRPr="00F14631">
        <w:rPr>
          <w:szCs w:val="24"/>
        </w:rPr>
        <w:t>.</w:t>
      </w:r>
    </w:p>
    <w:p w14:paraId="49079603" w14:textId="77777777" w:rsidR="00947044" w:rsidRPr="00C30396" w:rsidRDefault="00947044" w:rsidP="00947044">
      <w:pPr>
        <w:keepNext/>
        <w:widowControl/>
        <w:numPr>
          <w:ilvl w:val="0"/>
          <w:numId w:val="11"/>
        </w:numPr>
        <w:spacing w:after="240"/>
        <w:jc w:val="both"/>
      </w:pPr>
      <w:r w:rsidRPr="00C30396">
        <w:t>Section </w:t>
      </w:r>
      <w:r>
        <w:t>3.01</w:t>
      </w:r>
      <w:r w:rsidRPr="00C30396">
        <w:t xml:space="preserve"> (</w:t>
      </w:r>
      <w:r>
        <w:t>Non-Recourse Mortgage Loan; Exceptions</w:t>
      </w:r>
      <w:r w:rsidRPr="00C30396">
        <w:t xml:space="preserve">) of the Loan Agreement is hereby amended by adding the following </w:t>
      </w:r>
      <w:r>
        <w:t>paragraph</w:t>
      </w:r>
      <w:r w:rsidRPr="00C30396">
        <w:t xml:space="preserve"> at the end thereof:</w:t>
      </w:r>
    </w:p>
    <w:p w14:paraId="4312D8F1" w14:textId="77777777" w:rsidR="00947044" w:rsidRPr="008E61EF" w:rsidRDefault="00947044" w:rsidP="00947044">
      <w:pPr>
        <w:widowControl/>
        <w:suppressAutoHyphens/>
        <w:spacing w:after="240"/>
        <w:ind w:left="720" w:right="720" w:firstLine="720"/>
        <w:jc w:val="both"/>
      </w:pPr>
      <w:r w:rsidRPr="008E61EF">
        <w:t xml:space="preserve">Notwithstanding anything to the contrary in this Loan Agreement, the Note or any of the other Loan Documents, </w:t>
      </w:r>
      <w:r w:rsidRPr="004A23CD">
        <w:t>Lender hereby waives any right to obtain a money judgment against Exchange Accommodator, its shareholders</w:t>
      </w:r>
      <w:r w:rsidRPr="008E61EF">
        <w:t>, directors, officers, partners</w:t>
      </w:r>
      <w:r>
        <w:t>,</w:t>
      </w:r>
      <w:r w:rsidRPr="008E61EF">
        <w:t xml:space="preserve"> or employees, whether by an action brought under this Loan </w:t>
      </w:r>
      <w:r w:rsidRPr="00F023D8">
        <w:rPr>
          <w:szCs w:val="24"/>
        </w:rPr>
        <w:t>Agreement</w:t>
      </w:r>
      <w:r w:rsidRPr="008E61EF">
        <w:t xml:space="preserve"> or any of the other Loan Documents and agrees that the extent of liability on the part of such parties with respect to this Loan Agreement or any of the other Loan Documents is and shall for all purposes be limited to the membership interests of Exchange Accommodator in Borrower, and Lender’s only recourse for the satisfaction of the Indebtedness and the performance of any covenant, stipulation, promise, indemnity, agreement</w:t>
      </w:r>
      <w:r>
        <w:t>,</w:t>
      </w:r>
      <w:r w:rsidRPr="008E61EF">
        <w:t xml:space="preserve"> or obligation contained herein with respect to Exchange Accommodator shall be Lender’s exercise of its rights and remedies with respect to the Mortgaged Property and any other collateral held by Lender as security for the Indebtedness.</w:t>
      </w:r>
    </w:p>
    <w:p w14:paraId="451965F3" w14:textId="77777777" w:rsidR="00947044" w:rsidRDefault="00947044" w:rsidP="00947044">
      <w:pPr>
        <w:widowControl/>
        <w:numPr>
          <w:ilvl w:val="0"/>
          <w:numId w:val="11"/>
        </w:numPr>
        <w:spacing w:after="240"/>
        <w:jc w:val="both"/>
      </w:pPr>
      <w:r>
        <w:t>Section 3.02(a) (Personal Liability Based on Lender’s Loss) of the Loan Agreement is hereby amended by adding the following provision at the end thereof:</w:t>
      </w:r>
    </w:p>
    <w:p w14:paraId="7A68F14B" w14:textId="77777777" w:rsidR="00947044" w:rsidRDefault="00947044" w:rsidP="00947044">
      <w:pPr>
        <w:widowControl/>
        <w:suppressAutoHyphens/>
        <w:spacing w:after="240"/>
        <w:ind w:left="1440" w:right="720" w:firstLine="720"/>
        <w:jc w:val="both"/>
      </w:pPr>
      <w:r>
        <w:t>[(__)]</w:t>
      </w:r>
      <w:r>
        <w:tab/>
      </w:r>
      <w:r w:rsidRPr="00371EE9">
        <w:t>the Exchange Permitted Transfer described in Section 11.</w:t>
      </w:r>
      <w:r>
        <w:t>[__]</w:t>
      </w:r>
      <w:r w:rsidRPr="00371EE9">
        <w:t xml:space="preserve"> </w:t>
      </w:r>
      <w:r>
        <w:t>(</w:t>
      </w:r>
      <w:r w:rsidRPr="00781570">
        <w:t>Permitted Transfer to Effectuate Tax Free Exchange</w:t>
      </w:r>
      <w:r>
        <w:t>)</w:t>
      </w:r>
      <w:r w:rsidRPr="00781570">
        <w:t xml:space="preserve"> </w:t>
      </w:r>
      <w:r w:rsidRPr="00371EE9">
        <w:t>hereof, or anything associated with the Reverse Exchange.</w:t>
      </w:r>
    </w:p>
    <w:p w14:paraId="26FDB82B" w14:textId="77777777" w:rsidR="00947044" w:rsidRDefault="00947044" w:rsidP="00947044">
      <w:pPr>
        <w:widowControl/>
        <w:numPr>
          <w:ilvl w:val="0"/>
          <w:numId w:val="11"/>
        </w:numPr>
        <w:spacing w:after="240"/>
        <w:jc w:val="both"/>
      </w:pPr>
      <w:r>
        <w:t>Section 4.02 (Borrower Status – Covenants) of the Loan Agreement is hereby amended by adding the following provision at the end thereof:</w:t>
      </w:r>
    </w:p>
    <w:p w14:paraId="6E8F0F14" w14:textId="77777777" w:rsidR="00947044" w:rsidRPr="00E301D6" w:rsidRDefault="00947044" w:rsidP="00947044">
      <w:pPr>
        <w:keepNext/>
        <w:widowControl/>
        <w:spacing w:after="240"/>
        <w:ind w:left="720" w:right="720" w:firstLine="720"/>
        <w:jc w:val="both"/>
        <w:rPr>
          <w:b/>
        </w:rPr>
      </w:pPr>
      <w:r>
        <w:rPr>
          <w:b/>
        </w:rPr>
        <w:t>[(__)]</w:t>
      </w:r>
      <w:r>
        <w:rPr>
          <w:b/>
        </w:rPr>
        <w:tab/>
      </w:r>
      <w:r w:rsidRPr="00E301D6">
        <w:rPr>
          <w:b/>
        </w:rPr>
        <w:t>1031 Reverse Exchange.</w:t>
      </w:r>
    </w:p>
    <w:p w14:paraId="01425AB8" w14:textId="77777777" w:rsidR="00947044" w:rsidRDefault="00947044" w:rsidP="00947044">
      <w:pPr>
        <w:widowControl/>
        <w:suppressAutoHyphens/>
        <w:spacing w:after="240"/>
        <w:ind w:left="720" w:right="720" w:firstLine="720"/>
        <w:jc w:val="both"/>
      </w:pPr>
      <w:r w:rsidRPr="008144AC">
        <w:rPr>
          <w:szCs w:val="24"/>
        </w:rPr>
        <w:t xml:space="preserve">On or </w:t>
      </w:r>
      <w:r w:rsidRPr="00E301D6">
        <w:t>before</w:t>
      </w:r>
      <w:r w:rsidRPr="008144AC">
        <w:rPr>
          <w:szCs w:val="24"/>
        </w:rPr>
        <w:t xml:space="preserve"> the </w:t>
      </w:r>
      <w:r w:rsidRPr="00FF2D7C">
        <w:rPr>
          <w:szCs w:val="24"/>
        </w:rPr>
        <w:t>Exchange Termination Date</w:t>
      </w:r>
      <w:r w:rsidRPr="008144AC">
        <w:rPr>
          <w:szCs w:val="24"/>
        </w:rPr>
        <w:t xml:space="preserve">, Borrower shall complete the </w:t>
      </w:r>
      <w:r>
        <w:rPr>
          <w:szCs w:val="24"/>
        </w:rPr>
        <w:t xml:space="preserve">Exchange </w:t>
      </w:r>
      <w:r w:rsidRPr="008144AC">
        <w:rPr>
          <w:szCs w:val="24"/>
        </w:rPr>
        <w:t xml:space="preserve">Permitted Transfer described </w:t>
      </w:r>
      <w:r w:rsidRPr="00522176">
        <w:rPr>
          <w:szCs w:val="24"/>
        </w:rPr>
        <w:t xml:space="preserve">in </w:t>
      </w:r>
      <w:r w:rsidRPr="00371EE9">
        <w:t>Section 11.</w:t>
      </w:r>
      <w:r>
        <w:t>[__]</w:t>
      </w:r>
      <w:r w:rsidRPr="00371EE9">
        <w:t xml:space="preserve"> </w:t>
      </w:r>
      <w:r>
        <w:t>(</w:t>
      </w:r>
      <w:r w:rsidRPr="00781570">
        <w:t>Permitted Transfer to Effectuate Tax Free Exchange</w:t>
      </w:r>
      <w:r>
        <w:t>)</w:t>
      </w:r>
      <w:r w:rsidRPr="00522176">
        <w:rPr>
          <w:szCs w:val="24"/>
        </w:rPr>
        <w:t xml:space="preserve"> </w:t>
      </w:r>
      <w:r w:rsidRPr="000F7818">
        <w:rPr>
          <w:b/>
          <w:szCs w:val="24"/>
        </w:rPr>
        <w:t>[</w:t>
      </w:r>
      <w:r w:rsidR="00820DC9">
        <w:rPr>
          <w:b/>
          <w:szCs w:val="24"/>
        </w:rPr>
        <w:t xml:space="preserve">DRAFTING NOTE: DELETE IF THERE IS NO EXCHANGE OPERATING LEASE IN PLACE: </w:t>
      </w:r>
      <w:r w:rsidRPr="000F7818">
        <w:rPr>
          <w:b/>
          <w:szCs w:val="24"/>
        </w:rPr>
        <w:t xml:space="preserve">and </w:t>
      </w:r>
      <w:bookmarkStart w:id="0" w:name="_BPDCI_174"/>
      <w:r w:rsidRPr="000F7818">
        <w:rPr>
          <w:b/>
          <w:szCs w:val="24"/>
        </w:rPr>
        <w:t>cause the termination of the Exchange Operating Lease</w:t>
      </w:r>
      <w:bookmarkEnd w:id="0"/>
      <w:r w:rsidRPr="000F7818">
        <w:rPr>
          <w:b/>
          <w:szCs w:val="24"/>
        </w:rPr>
        <w:t>]</w:t>
      </w:r>
      <w:r w:rsidRPr="002317E9">
        <w:rPr>
          <w:szCs w:val="24"/>
        </w:rPr>
        <w:t>.</w:t>
      </w:r>
    </w:p>
    <w:p w14:paraId="699F0069" w14:textId="77777777" w:rsidR="00947044" w:rsidRDefault="00137D6E" w:rsidP="00820DC9">
      <w:pPr>
        <w:keepNext/>
        <w:widowControl/>
        <w:numPr>
          <w:ilvl w:val="0"/>
          <w:numId w:val="11"/>
        </w:numPr>
        <w:spacing w:after="240"/>
        <w:jc w:val="both"/>
      </w:pPr>
      <w:r w:rsidRPr="000F7818">
        <w:rPr>
          <w:b/>
        </w:rPr>
        <w:lastRenderedPageBreak/>
        <w:t>[DRAFTING NOTE: DELETE IF THERE IS NO EXCHANGE OPERATING LEASE</w:t>
      </w:r>
      <w:r>
        <w:rPr>
          <w:b/>
        </w:rPr>
        <w:t xml:space="preserve"> IN PLACE]  [</w:t>
      </w:r>
      <w:r w:rsidR="00947044">
        <w:t>Article 7 (Leases and Rents) of the Loan Agreement is hereby amended by adding the followin</w:t>
      </w:r>
      <w:r w:rsidR="00820DC9">
        <w:t>g provision at the end thereof:</w:t>
      </w:r>
    </w:p>
    <w:p w14:paraId="13DFA57F" w14:textId="77777777" w:rsidR="00947044" w:rsidRPr="00F2034B" w:rsidRDefault="00947044" w:rsidP="00947044">
      <w:pPr>
        <w:pStyle w:val="ListParagraph"/>
        <w:keepNext/>
        <w:widowControl/>
        <w:tabs>
          <w:tab w:val="left" w:pos="2520"/>
        </w:tabs>
        <w:spacing w:after="240"/>
        <w:ind w:right="720"/>
        <w:jc w:val="both"/>
        <w:rPr>
          <w:b/>
        </w:rPr>
      </w:pPr>
      <w:r w:rsidRPr="00F2034B">
        <w:rPr>
          <w:b/>
        </w:rPr>
        <w:t xml:space="preserve">Section </w:t>
      </w:r>
      <w:r>
        <w:rPr>
          <w:b/>
        </w:rPr>
        <w:t>7</w:t>
      </w:r>
      <w:r w:rsidRPr="00F2034B">
        <w:rPr>
          <w:b/>
        </w:rPr>
        <w:t>.[__]</w:t>
      </w:r>
      <w:r w:rsidRPr="00F2034B">
        <w:rPr>
          <w:b/>
        </w:rPr>
        <w:tab/>
      </w:r>
      <w:r>
        <w:rPr>
          <w:b/>
        </w:rPr>
        <w:t>Exchange Operating Lease</w:t>
      </w:r>
      <w:r w:rsidRPr="00F2034B">
        <w:rPr>
          <w:b/>
        </w:rPr>
        <w:t>.</w:t>
      </w:r>
    </w:p>
    <w:p w14:paraId="05DCC6EB" w14:textId="77777777" w:rsidR="00947044" w:rsidRPr="000F7818" w:rsidRDefault="00947044" w:rsidP="00947044">
      <w:pPr>
        <w:widowControl/>
        <w:suppressAutoHyphens/>
        <w:spacing w:after="240"/>
        <w:ind w:left="720" w:right="720" w:firstLine="720"/>
        <w:jc w:val="both"/>
      </w:pPr>
      <w:r>
        <w:t>I</w:t>
      </w:r>
      <w:r w:rsidRPr="008144AC">
        <w:t xml:space="preserve">f </w:t>
      </w:r>
      <w:r>
        <w:t>the</w:t>
      </w:r>
      <w:r w:rsidRPr="008144AC">
        <w:t xml:space="preserve"> </w:t>
      </w:r>
      <w:r w:rsidRPr="00DB2FBF">
        <w:rPr>
          <w:szCs w:val="24"/>
          <w:lang w:bidi="he-IL"/>
        </w:rPr>
        <w:t>Exchange Operating Lease</w:t>
      </w:r>
      <w:r w:rsidRPr="00365F92">
        <w:t xml:space="preserve"> is a “master lease</w:t>
      </w:r>
      <w:r>
        <w:t>,</w:t>
      </w:r>
      <w:r w:rsidRPr="00365F92">
        <w:t xml:space="preserve">” </w:t>
      </w:r>
      <w:r w:rsidRPr="000F7818">
        <w:t>then, subject to any SASA executed by Borrower and Exchange Accommodator:</w:t>
      </w:r>
    </w:p>
    <w:p w14:paraId="01C7C751" w14:textId="77777777" w:rsidR="00947044" w:rsidRDefault="00947044" w:rsidP="00947044">
      <w:pPr>
        <w:widowControl/>
        <w:suppressAutoHyphens/>
        <w:spacing w:after="240"/>
        <w:ind w:left="1440" w:right="720" w:firstLine="720"/>
        <w:jc w:val="both"/>
      </w:pPr>
      <w:r w:rsidRPr="00365F92">
        <w:t>(</w:t>
      </w:r>
      <w:r>
        <w:t>a</w:t>
      </w:r>
      <w:r w:rsidRPr="00365F92">
        <w:t>)</w:t>
      </w:r>
      <w:r>
        <w:tab/>
      </w:r>
      <w:r w:rsidRPr="00365F92">
        <w:t>Lender</w:t>
      </w:r>
      <w:r w:rsidRPr="008144AC">
        <w:t xml:space="preserve"> shall not be obligated to provide any non-disturbance rights to </w:t>
      </w:r>
      <w:r w:rsidRPr="00522176">
        <w:t xml:space="preserve">the </w:t>
      </w:r>
      <w:r w:rsidR="00820DC9">
        <w:t xml:space="preserve">master </w:t>
      </w:r>
      <w:r w:rsidRPr="00522176">
        <w:t>tenant</w:t>
      </w:r>
      <w:r>
        <w:t xml:space="preserve"> under such “master lease;”</w:t>
      </w:r>
      <w:r w:rsidRPr="008144AC">
        <w:t xml:space="preserve"> </w:t>
      </w:r>
    </w:p>
    <w:p w14:paraId="68362CC4" w14:textId="77777777" w:rsidR="00947044" w:rsidRDefault="00947044" w:rsidP="00947044">
      <w:pPr>
        <w:widowControl/>
        <w:suppressAutoHyphens/>
        <w:spacing w:after="240"/>
        <w:ind w:left="1440" w:right="720" w:firstLine="720"/>
        <w:jc w:val="both"/>
      </w:pPr>
      <w:r w:rsidRPr="008144AC">
        <w:t>(</w:t>
      </w:r>
      <w:r>
        <w:t>b</w:t>
      </w:r>
      <w:r w:rsidRPr="008144AC">
        <w:t>)</w:t>
      </w:r>
      <w:r>
        <w:tab/>
      </w:r>
      <w:r w:rsidRPr="008144AC">
        <w:t xml:space="preserve">the </w:t>
      </w:r>
      <w:r w:rsidR="00820DC9">
        <w:t xml:space="preserve">master </w:t>
      </w:r>
      <w:r w:rsidRPr="008144AC">
        <w:t xml:space="preserve">tenant </w:t>
      </w:r>
      <w:r>
        <w:t xml:space="preserve">under such “master lease” </w:t>
      </w:r>
      <w:r w:rsidRPr="008144AC">
        <w:t xml:space="preserve">agrees to execute an assignment of all Leases, including all subleases assigned to or entered into by master tenant covering or affecting the Mortgaged Property, or any portion of the Mortgaged Property, the </w:t>
      </w:r>
      <w:r>
        <w:t>“</w:t>
      </w:r>
      <w:r w:rsidRPr="008144AC">
        <w:t>master lease,</w:t>
      </w:r>
      <w:r>
        <w:t>”</w:t>
      </w:r>
      <w:r w:rsidRPr="008144AC">
        <w:t xml:space="preserve"> and all modifications, extensions or renewals thereof</w:t>
      </w:r>
      <w:r>
        <w:t>;</w:t>
      </w:r>
      <w:r w:rsidRPr="008144AC">
        <w:t xml:space="preserve"> and </w:t>
      </w:r>
    </w:p>
    <w:p w14:paraId="016039D8" w14:textId="77777777" w:rsidR="00947044" w:rsidRDefault="00947044" w:rsidP="00947044">
      <w:pPr>
        <w:widowControl/>
        <w:suppressAutoHyphens/>
        <w:spacing w:after="240"/>
        <w:ind w:left="1440" w:right="720" w:firstLine="720"/>
        <w:jc w:val="both"/>
      </w:pPr>
      <w:r w:rsidRPr="008144AC">
        <w:t>(</w:t>
      </w:r>
      <w:r>
        <w:t>c</w:t>
      </w:r>
      <w:r w:rsidRPr="008144AC">
        <w:t>)</w:t>
      </w:r>
      <w:r>
        <w:tab/>
      </w:r>
      <w:r w:rsidRPr="008144AC">
        <w:t xml:space="preserve">the master tenant agrees to execute an assignment of master tenant’s interest in and to all Rents payable by subtenants and any amounts due to master tenant under the </w:t>
      </w:r>
      <w:r>
        <w:t>“</w:t>
      </w:r>
      <w:r w:rsidRPr="008144AC">
        <w:t>master lease,</w:t>
      </w:r>
      <w:r>
        <w:t>”</w:t>
      </w:r>
      <w:r w:rsidRPr="008144AC">
        <w:t xml:space="preserve"> as additional security for the Mortgage Loan</w:t>
      </w:r>
      <w:r w:rsidRPr="00F56FCB">
        <w:t>.</w:t>
      </w:r>
      <w:r w:rsidRPr="00672A23">
        <w:rPr>
          <w:b/>
        </w:rPr>
        <w:t>]</w:t>
      </w:r>
    </w:p>
    <w:p w14:paraId="6397C764" w14:textId="77777777" w:rsidR="00947044" w:rsidRDefault="00947044" w:rsidP="00947044">
      <w:pPr>
        <w:keepNext/>
        <w:widowControl/>
        <w:numPr>
          <w:ilvl w:val="0"/>
          <w:numId w:val="11"/>
        </w:numPr>
        <w:spacing w:after="240"/>
        <w:jc w:val="both"/>
      </w:pPr>
      <w:r>
        <w:t xml:space="preserve">Section 11.02(d) (No Mezzanine Financing or Preferred Equity) of the Loan Agreement is </w:t>
      </w:r>
      <w:r w:rsidRPr="00C30396">
        <w:t xml:space="preserve">hereby deleted and restated in </w:t>
      </w:r>
      <w:r>
        <w:t>its</w:t>
      </w:r>
      <w:r w:rsidRPr="00C30396">
        <w:t xml:space="preserve"> entirety to read as follows</w:t>
      </w:r>
      <w:r>
        <w:t>:</w:t>
      </w:r>
    </w:p>
    <w:p w14:paraId="50C942CF" w14:textId="77777777" w:rsidR="00947044" w:rsidRPr="00E301D6" w:rsidRDefault="00947044" w:rsidP="00947044">
      <w:pPr>
        <w:keepNext/>
        <w:widowControl/>
        <w:spacing w:after="240"/>
        <w:ind w:left="720" w:right="720" w:firstLine="720"/>
        <w:jc w:val="both"/>
        <w:rPr>
          <w:b/>
        </w:rPr>
      </w:pPr>
      <w:bookmarkStart w:id="1" w:name="_Toc394568835"/>
      <w:r>
        <w:rPr>
          <w:b/>
        </w:rPr>
        <w:t>(d)</w:t>
      </w:r>
      <w:r>
        <w:rPr>
          <w:b/>
        </w:rPr>
        <w:tab/>
      </w:r>
      <w:r w:rsidRPr="00E301D6">
        <w:rPr>
          <w:b/>
        </w:rPr>
        <w:t>No Mezzanine Financing or Preferred Equity.</w:t>
      </w:r>
      <w:bookmarkEnd w:id="1"/>
    </w:p>
    <w:p w14:paraId="5414F1B0" w14:textId="77777777" w:rsidR="00947044" w:rsidRDefault="00947044" w:rsidP="00947044">
      <w:pPr>
        <w:widowControl/>
        <w:suppressAutoHyphens/>
        <w:spacing w:after="240"/>
        <w:ind w:left="720" w:right="720" w:firstLine="720"/>
        <w:jc w:val="both"/>
      </w:pPr>
      <w:r>
        <w:t>Neither Borrower nor any direct or indirect owner of Borrower shall: (1) </w:t>
      </w:r>
      <w:r w:rsidRPr="0089099A">
        <w:t>incur any Mezzanine Debt other than Permitted Mezzanine Debt</w:t>
      </w:r>
      <w:r>
        <w:t>,</w:t>
      </w:r>
      <w:r w:rsidRPr="0089099A">
        <w:t xml:space="preserve"> </w:t>
      </w:r>
      <w:r>
        <w:t>(2) </w:t>
      </w:r>
      <w:r w:rsidRPr="0089099A">
        <w:t>issue any Preferred</w:t>
      </w:r>
      <w:r>
        <w:t xml:space="preserve"> Equity other than Permitted Preferred Equity, or (3) incur any similar indebtedness or issue any similar equity.  </w:t>
      </w:r>
      <w:r w:rsidRPr="00511393">
        <w:rPr>
          <w:b/>
        </w:rPr>
        <w:t>[DRAFTING</w:t>
      </w:r>
      <w:r>
        <w:rPr>
          <w:b/>
        </w:rPr>
        <w:t xml:space="preserve"> NOTE: DELETE IF THERE IS NO EXCHANGE LOAN: </w:t>
      </w:r>
      <w:r w:rsidRPr="00D51E4F">
        <w:t xml:space="preserve"> </w:t>
      </w:r>
      <w:r w:rsidRPr="00D51E4F">
        <w:rPr>
          <w:b/>
        </w:rPr>
        <w:t xml:space="preserve">Notwithstanding the foregoing, Borrower and Lender acknowledge the Exchange Loan </w:t>
      </w:r>
      <w:r>
        <w:rPr>
          <w:b/>
        </w:rPr>
        <w:t>has been made, as evidenced by the</w:t>
      </w:r>
      <w:r w:rsidRPr="00D51E4F">
        <w:rPr>
          <w:b/>
        </w:rPr>
        <w:t xml:space="preserve"> Exchange Loan Documentation, </w:t>
      </w:r>
      <w:r w:rsidR="00820DC9">
        <w:rPr>
          <w:b/>
        </w:rPr>
        <w:t>and agree</w:t>
      </w:r>
      <w:r w:rsidRPr="00D51E4F">
        <w:rPr>
          <w:b/>
        </w:rPr>
        <w:t xml:space="preserve"> that the Exchange Loan </w:t>
      </w:r>
      <w:r>
        <w:rPr>
          <w:b/>
        </w:rPr>
        <w:t xml:space="preserve">is fully subordinate to the Mortgage Loan and </w:t>
      </w:r>
      <w:r w:rsidRPr="00D51E4F">
        <w:rPr>
          <w:b/>
        </w:rPr>
        <w:t>will be repaid or forgiven and the Exchange Loan Documentation terminated upon completion of the Exchange Permitted Transfer.]</w:t>
      </w:r>
    </w:p>
    <w:p w14:paraId="4288DBC2" w14:textId="77777777" w:rsidR="00947044" w:rsidRDefault="00947044" w:rsidP="00820DC9">
      <w:pPr>
        <w:keepNext/>
        <w:widowControl/>
        <w:numPr>
          <w:ilvl w:val="0"/>
          <w:numId w:val="11"/>
        </w:numPr>
        <w:spacing w:after="240"/>
        <w:jc w:val="both"/>
      </w:pPr>
      <w:r>
        <w:lastRenderedPageBreak/>
        <w:t>Article 11 (Liens, Transfers, and Assumptions) of the Loan Agreement is hereby amended by adding the following provision at the end thereof:</w:t>
      </w:r>
    </w:p>
    <w:p w14:paraId="17636DC2" w14:textId="77777777" w:rsidR="00947044" w:rsidRPr="003D7FB4" w:rsidRDefault="00947044" w:rsidP="00947044">
      <w:pPr>
        <w:keepNext/>
        <w:widowControl/>
        <w:tabs>
          <w:tab w:val="left" w:pos="2520"/>
        </w:tabs>
        <w:spacing w:after="240"/>
        <w:ind w:left="720" w:right="720"/>
        <w:jc w:val="both"/>
        <w:rPr>
          <w:b/>
        </w:rPr>
      </w:pPr>
      <w:r>
        <w:rPr>
          <w:b/>
        </w:rPr>
        <w:t>Section 11.[__]</w:t>
      </w:r>
      <w:r>
        <w:rPr>
          <w:b/>
        </w:rPr>
        <w:tab/>
      </w:r>
      <w:r w:rsidRPr="003D7FB4">
        <w:rPr>
          <w:b/>
        </w:rPr>
        <w:t>Permitted Transfer to Effectuate Tax Free Exchange.</w:t>
      </w:r>
    </w:p>
    <w:p w14:paraId="5C765B81" w14:textId="77777777" w:rsidR="00947044" w:rsidRPr="003A0327" w:rsidRDefault="00947044" w:rsidP="00947044">
      <w:pPr>
        <w:widowControl/>
        <w:suppressAutoHyphens/>
        <w:spacing w:after="240"/>
        <w:ind w:left="720" w:right="720" w:firstLine="720"/>
        <w:jc w:val="both"/>
      </w:pPr>
      <w:r w:rsidRPr="003A0327">
        <w:t>Notwithstanding the provisions of Section 11.02(b) (Transfers), the Exchange Permitted Transfer shall be permitted subject to Borrower’s satisfaction of the following conditions:</w:t>
      </w:r>
    </w:p>
    <w:p w14:paraId="43A14E43" w14:textId="77777777" w:rsidR="00947044" w:rsidRPr="003A0327" w:rsidRDefault="00947044" w:rsidP="00947044">
      <w:pPr>
        <w:widowControl/>
        <w:suppressAutoHyphens/>
        <w:spacing w:after="240"/>
        <w:ind w:left="720" w:right="720" w:firstLine="720"/>
        <w:jc w:val="both"/>
      </w:pPr>
      <w:r w:rsidRPr="003A0327">
        <w:t>(a)</w:t>
      </w:r>
      <w:r w:rsidRPr="003A0327">
        <w:tab/>
      </w:r>
      <w:r>
        <w:t xml:space="preserve">Borrower delivers to </w:t>
      </w:r>
      <w:r w:rsidRPr="003A0327">
        <w:t>Lender written notice at least thirty</w:t>
      </w:r>
      <w:r w:rsidR="00820DC9">
        <w:t> </w:t>
      </w:r>
      <w:r w:rsidRPr="003A0327">
        <w:t>(30) days prior to such Exchange Permitted Transfer, which notice shall include:</w:t>
      </w:r>
    </w:p>
    <w:p w14:paraId="1E44377C" w14:textId="77777777" w:rsidR="00947044" w:rsidRPr="003A0327" w:rsidRDefault="00947044" w:rsidP="00947044">
      <w:pPr>
        <w:widowControl/>
        <w:suppressAutoHyphens/>
        <w:spacing w:after="240"/>
        <w:ind w:left="1440" w:right="720" w:firstLine="720"/>
        <w:jc w:val="both"/>
      </w:pPr>
      <w:r w:rsidRPr="003A0327">
        <w:t>(1)</w:t>
      </w:r>
      <w:r w:rsidRPr="003A0327">
        <w:tab/>
        <w:t>the form of documentation intended to complete the proposed Exchange Permitted Transfer;</w:t>
      </w:r>
    </w:p>
    <w:p w14:paraId="3A114D0A" w14:textId="77777777" w:rsidR="00947044" w:rsidRPr="003A0327" w:rsidRDefault="00947044" w:rsidP="00947044">
      <w:pPr>
        <w:widowControl/>
        <w:suppressAutoHyphens/>
        <w:spacing w:after="240"/>
        <w:ind w:left="1440" w:right="720" w:firstLine="720"/>
        <w:jc w:val="both"/>
      </w:pPr>
      <w:r w:rsidRPr="003A0327">
        <w:t>(2)</w:t>
      </w:r>
      <w:r w:rsidRPr="003A0327">
        <w:tab/>
        <w:t>fully executed copies of the then current organizational documents and current good standing certificates for Borrower and Exchange Accommodator; and</w:t>
      </w:r>
    </w:p>
    <w:p w14:paraId="44C54CED" w14:textId="77777777" w:rsidR="00947044" w:rsidRPr="003A0327" w:rsidRDefault="00947044" w:rsidP="00947044">
      <w:pPr>
        <w:widowControl/>
        <w:suppressAutoHyphens/>
        <w:spacing w:after="240"/>
        <w:ind w:left="1440" w:right="720" w:firstLine="720"/>
        <w:jc w:val="both"/>
      </w:pPr>
      <w:r w:rsidRPr="003A0327">
        <w:t>(3)</w:t>
      </w:r>
      <w:r w:rsidRPr="003A0327">
        <w:tab/>
        <w:t>confirmation that the Property Manager approved by Lender will continue to manage the Mortgaged Property.</w:t>
      </w:r>
    </w:p>
    <w:p w14:paraId="60250733" w14:textId="77777777" w:rsidR="00947044" w:rsidRDefault="00947044" w:rsidP="00947044">
      <w:pPr>
        <w:widowControl/>
        <w:suppressAutoHyphens/>
        <w:spacing w:after="240"/>
        <w:ind w:left="720" w:right="720" w:firstLine="720"/>
        <w:jc w:val="both"/>
      </w:pPr>
      <w:r>
        <w:t>(b)</w:t>
      </w:r>
      <w:r>
        <w:tab/>
        <w:t xml:space="preserve">Borrower delivers to Lender immediately prior to </w:t>
      </w:r>
      <w:r w:rsidRPr="003A0327">
        <w:t>completion of the proposed Exchange Permitted Transfer</w:t>
      </w:r>
      <w:r>
        <w:t xml:space="preserve"> a </w:t>
      </w:r>
      <w:r w:rsidRPr="003A0327">
        <w:t>current good standing certificate for Borrower</w:t>
      </w:r>
      <w:r w:rsidR="00820DC9">
        <w:t>;</w:t>
      </w:r>
    </w:p>
    <w:p w14:paraId="079206F9" w14:textId="77777777" w:rsidR="00947044" w:rsidRDefault="00947044" w:rsidP="00947044">
      <w:pPr>
        <w:widowControl/>
        <w:suppressAutoHyphens/>
        <w:spacing w:after="240"/>
        <w:ind w:left="720" w:right="720" w:firstLine="720"/>
        <w:jc w:val="both"/>
      </w:pPr>
      <w:r w:rsidRPr="003A0327">
        <w:t>(</w:t>
      </w:r>
      <w:r>
        <w:t>c</w:t>
      </w:r>
      <w:r w:rsidRPr="003A0327">
        <w:t>)</w:t>
      </w:r>
      <w:r w:rsidRPr="003A0327">
        <w:tab/>
        <w:t>Borrower has submitted to Lender all information required by Lender to make the determination required by this Section 11.[__] (Permitted Transfer to Effectuate Tax Free Exchange)</w:t>
      </w:r>
      <w:r w:rsidRPr="000F7818">
        <w:rPr>
          <w:b/>
        </w:rPr>
        <w:t>[, including evidence of termination of the Exchange Operating Lease]</w:t>
      </w:r>
      <w:r w:rsidRPr="003A0327">
        <w:t>;</w:t>
      </w:r>
    </w:p>
    <w:p w14:paraId="082230F6" w14:textId="77777777" w:rsidR="00947044" w:rsidRDefault="00947044" w:rsidP="00947044">
      <w:pPr>
        <w:widowControl/>
        <w:suppressAutoHyphens/>
        <w:spacing w:after="240"/>
        <w:ind w:left="720" w:right="720" w:firstLine="720"/>
        <w:jc w:val="both"/>
      </w:pPr>
      <w:r>
        <w:t>(d</w:t>
      </w:r>
      <w:r w:rsidRPr="003A0327">
        <w:t>)</w:t>
      </w:r>
      <w:r w:rsidRPr="003A0327">
        <w:tab/>
        <w:t xml:space="preserve">no Event of Default has occurred </w:t>
      </w:r>
      <w:r w:rsidRPr="000C14AB">
        <w:t>and is continuing,</w:t>
      </w:r>
      <w:r w:rsidRPr="003A0327">
        <w:t xml:space="preserve"> and no event which, with the giving of notice or the passage of time, or both, would constitute a</w:t>
      </w:r>
      <w:r>
        <w:t>n Event of Default has occurred</w:t>
      </w:r>
      <w:r w:rsidRPr="003A0327">
        <w:t>;</w:t>
      </w:r>
    </w:p>
    <w:p w14:paraId="22BD112E" w14:textId="77777777" w:rsidR="00947044" w:rsidRDefault="00947044" w:rsidP="00947044">
      <w:pPr>
        <w:widowControl/>
        <w:suppressAutoHyphens/>
        <w:spacing w:after="240"/>
        <w:ind w:left="720" w:right="720" w:firstLine="720"/>
        <w:jc w:val="both"/>
      </w:pPr>
      <w:r>
        <w:t>(e)</w:t>
      </w:r>
      <w:r>
        <w:tab/>
      </w:r>
      <w:r w:rsidRPr="003A0327">
        <w:rPr>
          <w:b/>
        </w:rPr>
        <w:t>[</w:t>
      </w:r>
      <w:r w:rsidR="00820DC9">
        <w:rPr>
          <w:b/>
        </w:rPr>
        <w:t xml:space="preserve">DRAFTING NOTE: </w:t>
      </w:r>
      <w:r w:rsidRPr="003A0327">
        <w:rPr>
          <w:b/>
        </w:rPr>
        <w:t xml:space="preserve">NAMES </w:t>
      </w:r>
      <w:r w:rsidR="00820DC9">
        <w:rPr>
          <w:b/>
        </w:rPr>
        <w:t xml:space="preserve">OF </w:t>
      </w:r>
      <w:r w:rsidRPr="003A0327">
        <w:rPr>
          <w:b/>
        </w:rPr>
        <w:t>SPONSOR/K</w:t>
      </w:r>
      <w:r w:rsidR="00137D6E">
        <w:rPr>
          <w:b/>
        </w:rPr>
        <w:t>EY PRINCIPALS</w:t>
      </w:r>
      <w:r w:rsidRPr="003A0327">
        <w:rPr>
          <w:b/>
        </w:rPr>
        <w:t>]</w:t>
      </w:r>
      <w:r w:rsidRPr="003A0327">
        <w:t xml:space="preserve"> shall </w:t>
      </w:r>
      <w:r>
        <w:t xml:space="preserve">directly or indirectly </w:t>
      </w:r>
      <w:r w:rsidRPr="003A0327">
        <w:t xml:space="preserve">manage and </w:t>
      </w:r>
      <w:r>
        <w:t>C</w:t>
      </w:r>
      <w:r w:rsidRPr="003A0327">
        <w:t>ontrol the day-to-day operations of the Mortgaged Property</w:t>
      </w:r>
      <w:r>
        <w:t xml:space="preserve">; </w:t>
      </w:r>
    </w:p>
    <w:p w14:paraId="66F7DAA1" w14:textId="012BC0E6" w:rsidR="00947044" w:rsidRPr="003A0327" w:rsidRDefault="00947044" w:rsidP="00733630">
      <w:pPr>
        <w:widowControl/>
        <w:suppressAutoHyphens/>
        <w:spacing w:after="240"/>
        <w:ind w:left="720" w:right="720" w:firstLine="720"/>
        <w:jc w:val="both"/>
      </w:pPr>
      <w:r>
        <w:t>(f</w:t>
      </w:r>
      <w:r w:rsidRPr="003A0327">
        <w:t>)</w:t>
      </w:r>
      <w:r w:rsidRPr="003A0327">
        <w:tab/>
        <w:t xml:space="preserve">Exchange Accommodator, Borrower and any other necessary parties have executed and delivered to Lender an assumption agreement </w:t>
      </w:r>
      <w:r w:rsidR="00733630">
        <w:t xml:space="preserve">(or an amendment to the Loan Agreement, as appliable) </w:t>
      </w:r>
      <w:r w:rsidRPr="003A0327">
        <w:t xml:space="preserve">acceptable to </w:t>
      </w:r>
      <w:r>
        <w:t>Lender that</w:t>
      </w:r>
      <w:r w:rsidR="00733630">
        <w:t xml:space="preserve"> </w:t>
      </w:r>
      <w:r w:rsidRPr="003A0327">
        <w:t>documents the E</w:t>
      </w:r>
      <w:r w:rsidR="00820DC9">
        <w:t>xchange Permitted Transfer;</w:t>
      </w:r>
    </w:p>
    <w:p w14:paraId="4D8B4C05" w14:textId="3BCF038A" w:rsidR="00947044" w:rsidRPr="003A0327" w:rsidRDefault="00947044" w:rsidP="00733630">
      <w:pPr>
        <w:widowControl/>
        <w:suppressAutoHyphens/>
        <w:spacing w:after="240"/>
        <w:ind w:left="720" w:right="720" w:firstLine="720"/>
        <w:jc w:val="both"/>
      </w:pPr>
      <w:r w:rsidRPr="003A0327">
        <w:lastRenderedPageBreak/>
        <w:t>(</w:t>
      </w:r>
      <w:r w:rsidR="00733630">
        <w:t>g</w:t>
      </w:r>
      <w:r w:rsidRPr="003A0327">
        <w:t>)</w:t>
      </w:r>
      <w:r w:rsidRPr="003A0327">
        <w:tab/>
        <w:t>Guarantor ratif</w:t>
      </w:r>
      <w:r w:rsidR="00733630">
        <w:t>ies</w:t>
      </w:r>
      <w:r w:rsidRPr="003A0327">
        <w:t xml:space="preserve"> its obligations under the Non-Recourse Guaranty</w:t>
      </w:r>
      <w:r w:rsidR="00733630">
        <w:t xml:space="preserve"> (via the assumption agreement or a separate document) in a form acceptable to Lender</w:t>
      </w:r>
      <w:r w:rsidRPr="003A0327">
        <w:t>;</w:t>
      </w:r>
    </w:p>
    <w:p w14:paraId="73F04D7B" w14:textId="74EEAD5F" w:rsidR="00947044" w:rsidRPr="003A0327" w:rsidRDefault="00947044" w:rsidP="00947044">
      <w:pPr>
        <w:widowControl/>
        <w:suppressAutoHyphens/>
        <w:spacing w:after="240"/>
        <w:ind w:left="720" w:right="720" w:firstLine="720"/>
        <w:jc w:val="both"/>
      </w:pPr>
      <w:r>
        <w:t>(</w:t>
      </w:r>
      <w:r w:rsidR="00733630">
        <w:t>h</w:t>
      </w:r>
      <w:r w:rsidRPr="003A0327">
        <w:t>)</w:t>
      </w:r>
      <w:r w:rsidRPr="003A0327">
        <w:tab/>
        <w:t>Lender has reviewed and approved the documents effectuating the Exchange Permitted Transfer;</w:t>
      </w:r>
    </w:p>
    <w:p w14:paraId="64D95693" w14:textId="5833C271" w:rsidR="00947044" w:rsidRPr="003A0327" w:rsidRDefault="00947044" w:rsidP="00947044">
      <w:pPr>
        <w:widowControl/>
        <w:suppressAutoHyphens/>
        <w:spacing w:after="240"/>
        <w:ind w:left="720" w:right="720" w:firstLine="720"/>
        <w:jc w:val="both"/>
      </w:pPr>
      <w:r w:rsidRPr="003A0327">
        <w:t>(</w:t>
      </w:r>
      <w:r w:rsidR="00733630">
        <w:t>i</w:t>
      </w:r>
      <w:r w:rsidRPr="003A0327">
        <w:t>)</w:t>
      </w:r>
      <w:r w:rsidRPr="003A0327">
        <w:tab/>
        <w:t>the proposed Exchange Permitted Transfer is completed by no later than the Exchange Termination Date;</w:t>
      </w:r>
      <w:r w:rsidR="005142AD">
        <w:t xml:space="preserve"> and</w:t>
      </w:r>
    </w:p>
    <w:p w14:paraId="00DB3F04" w14:textId="15E7127E" w:rsidR="00947044" w:rsidRDefault="00947044" w:rsidP="00947044">
      <w:pPr>
        <w:widowControl/>
        <w:suppressAutoHyphens/>
        <w:spacing w:after="240"/>
        <w:ind w:left="720" w:right="720" w:firstLine="720"/>
        <w:jc w:val="both"/>
      </w:pPr>
      <w:r w:rsidRPr="003A0327">
        <w:t>(</w:t>
      </w:r>
      <w:r w:rsidR="00733630">
        <w:t>j</w:t>
      </w:r>
      <w:r w:rsidRPr="003A0327">
        <w:t>)</w:t>
      </w:r>
      <w:r w:rsidRPr="003A0327">
        <w:tab/>
        <w:t>Borrower delivers to Lender finalized and fully executed copies of the documentation effectuating the Exchange Permitted Transfer in form and substance acceptable to Lender within two (2) Business Days following completion of the proposed Exchange Permitted Transfer</w:t>
      </w:r>
      <w:r w:rsidR="005142AD">
        <w:t>.</w:t>
      </w:r>
    </w:p>
    <w:p w14:paraId="6660C3A5" w14:textId="4AC60D65" w:rsidR="00096B21" w:rsidRDefault="00A91508" w:rsidP="00A91508">
      <w:pPr>
        <w:widowControl/>
        <w:suppressAutoHyphens/>
        <w:spacing w:after="240"/>
        <w:ind w:left="720" w:right="720"/>
        <w:jc w:val="both"/>
      </w:pPr>
      <w:r w:rsidRPr="00F56FCB">
        <w:t xml:space="preserve">If the conditions set forth in </w:t>
      </w:r>
      <w:r w:rsidRPr="003A0327">
        <w:t>this Section 11.[__] (Permitted Transfer to Effectuate Tax Free Exchange)</w:t>
      </w:r>
      <w:r w:rsidRPr="00F56FCB">
        <w:t xml:space="preserve"> are satisfied, the Transfer Fee shall be waived provided Borrower shall pay the Review Fee and out-of-pocket costs set forth in</w:t>
      </w:r>
      <w:r>
        <w:t xml:space="preserve"> Section 11.03(g) (Further Conditions to Transfers and Assumptions)</w:t>
      </w:r>
      <w:r w:rsidRPr="00F56FCB">
        <w:t>.</w:t>
      </w:r>
    </w:p>
    <w:p w14:paraId="71D23C31" w14:textId="77777777" w:rsidR="00C6338B" w:rsidRDefault="00C6338B" w:rsidP="00C6338B">
      <w:pPr>
        <w:keepNext/>
        <w:widowControl/>
        <w:numPr>
          <w:ilvl w:val="0"/>
          <w:numId w:val="11"/>
        </w:numPr>
        <w:suppressAutoHyphens/>
        <w:spacing w:after="240"/>
        <w:jc w:val="both"/>
      </w:pPr>
      <w:r>
        <w:t>Section 14.01(a) (Events of Default – Automatic Events of Default) of the Loan Agreement is hereby amended by adding the following provision at the end thereof:</w:t>
      </w:r>
    </w:p>
    <w:p w14:paraId="295C2966" w14:textId="142C943B" w:rsidR="00C6338B" w:rsidRDefault="00C6338B" w:rsidP="00C6338B">
      <w:pPr>
        <w:widowControl/>
        <w:suppressAutoHyphens/>
        <w:spacing w:after="240"/>
        <w:ind w:left="1440" w:right="720" w:firstLine="720"/>
        <w:jc w:val="both"/>
      </w:pPr>
      <w:r>
        <w:t>([__])</w:t>
      </w:r>
      <w:r>
        <w:tab/>
        <w:t>in the event that Lender suffers any loss or damage as a result of the Reverse Exchange, including a failure to close the Exchange Permitted Transfer.</w:t>
      </w:r>
    </w:p>
    <w:p w14:paraId="4C837ACF" w14:textId="414D68CE" w:rsidR="00096B21" w:rsidRPr="00096B21" w:rsidRDefault="00096B21" w:rsidP="00096B21">
      <w:pPr>
        <w:widowControl/>
        <w:suppressAutoHyphens/>
        <w:spacing w:after="240"/>
        <w:ind w:right="720"/>
        <w:jc w:val="center"/>
        <w:rPr>
          <w:b/>
          <w:bCs/>
        </w:rPr>
      </w:pPr>
      <w:r>
        <w:rPr>
          <w:b/>
          <w:bCs/>
        </w:rPr>
        <w:t>[Remainder of Page Intentionally Blank]</w:t>
      </w:r>
    </w:p>
    <w:sectPr w:rsidR="00096B21" w:rsidRPr="00096B21" w:rsidSect="00031D79">
      <w:footerReference w:type="default" r:id="rId7"/>
      <w:footerReference w:type="first" r:id="rId8"/>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D941" w14:textId="77777777" w:rsidR="00D422E3" w:rsidRDefault="00D422E3">
      <w:pPr>
        <w:spacing w:line="20" w:lineRule="exact"/>
      </w:pPr>
    </w:p>
  </w:endnote>
  <w:endnote w:type="continuationSeparator" w:id="0">
    <w:p w14:paraId="03B64880" w14:textId="77777777" w:rsidR="00D422E3" w:rsidRDefault="00D422E3">
      <w:r>
        <w:t xml:space="preserve"> </w:t>
      </w:r>
    </w:p>
  </w:endnote>
  <w:endnote w:type="continuationNotice" w:id="1">
    <w:p w14:paraId="6861F73F" w14:textId="77777777" w:rsidR="00D422E3" w:rsidRDefault="00D422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no MT">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C537" w14:textId="77777777" w:rsidR="0088033F" w:rsidRDefault="0088033F" w:rsidP="007B3F15">
    <w:pPr>
      <w:rPr>
        <w:sz w:val="20"/>
      </w:rPr>
    </w:pPr>
  </w:p>
  <w:tbl>
    <w:tblPr>
      <w:tblW w:w="9598" w:type="dxa"/>
      <w:tblInd w:w="-90" w:type="dxa"/>
      <w:tblLook w:val="01E0" w:firstRow="1" w:lastRow="1" w:firstColumn="1" w:lastColumn="1" w:noHBand="0" w:noVBand="0"/>
    </w:tblPr>
    <w:tblGrid>
      <w:gridCol w:w="3906"/>
      <w:gridCol w:w="2600"/>
      <w:gridCol w:w="3092"/>
    </w:tblGrid>
    <w:tr w:rsidR="00F023D8" w:rsidRPr="005F2DC3" w14:paraId="7FC71FBC" w14:textId="77777777" w:rsidTr="00820DC9">
      <w:tc>
        <w:tcPr>
          <w:tcW w:w="3906" w:type="dxa"/>
          <w:shd w:val="clear" w:color="auto" w:fill="auto"/>
          <w:vAlign w:val="bottom"/>
        </w:tcPr>
        <w:p w14:paraId="3FC79424" w14:textId="77777777" w:rsidR="00F023D8" w:rsidRPr="005F2DC3" w:rsidRDefault="00F023D8" w:rsidP="00F023D8">
          <w:pPr>
            <w:tabs>
              <w:tab w:val="center" w:pos="4320"/>
              <w:tab w:val="right" w:pos="8640"/>
            </w:tabs>
            <w:rPr>
              <w:b/>
              <w:sz w:val="20"/>
            </w:rPr>
          </w:pPr>
          <w:r w:rsidRPr="005F2DC3">
            <w:rPr>
              <w:b/>
              <w:sz w:val="20"/>
            </w:rPr>
            <w:t>Modifications to Multifamily Loan and Security Agreement (</w:t>
          </w:r>
          <w:r>
            <w:rPr>
              <w:b/>
              <w:sz w:val="20"/>
            </w:rPr>
            <w:t>1031 Exchange</w:t>
          </w:r>
          <w:r w:rsidRPr="005F2DC3">
            <w:rPr>
              <w:b/>
              <w:sz w:val="20"/>
            </w:rPr>
            <w:t>)</w:t>
          </w:r>
        </w:p>
      </w:tc>
      <w:tc>
        <w:tcPr>
          <w:tcW w:w="2600" w:type="dxa"/>
          <w:shd w:val="clear" w:color="auto" w:fill="auto"/>
          <w:vAlign w:val="bottom"/>
        </w:tcPr>
        <w:p w14:paraId="668AF5A7" w14:textId="77777777" w:rsidR="00F023D8" w:rsidRPr="005F2DC3" w:rsidRDefault="00F023D8" w:rsidP="002846A4">
          <w:pPr>
            <w:tabs>
              <w:tab w:val="center" w:pos="4320"/>
              <w:tab w:val="right" w:pos="8640"/>
            </w:tabs>
            <w:jc w:val="center"/>
            <w:rPr>
              <w:b/>
              <w:sz w:val="20"/>
            </w:rPr>
          </w:pPr>
          <w:r w:rsidRPr="005F2DC3">
            <w:rPr>
              <w:b/>
              <w:sz w:val="20"/>
            </w:rPr>
            <w:t>F</w:t>
          </w:r>
          <w:r>
            <w:rPr>
              <w:b/>
              <w:sz w:val="20"/>
            </w:rPr>
            <w:t>orm 62</w:t>
          </w:r>
          <w:r w:rsidR="002846A4">
            <w:rPr>
              <w:b/>
              <w:sz w:val="20"/>
            </w:rPr>
            <w:t>44</w:t>
          </w:r>
        </w:p>
      </w:tc>
      <w:tc>
        <w:tcPr>
          <w:tcW w:w="3092" w:type="dxa"/>
          <w:shd w:val="clear" w:color="auto" w:fill="auto"/>
          <w:vAlign w:val="bottom"/>
        </w:tcPr>
        <w:p w14:paraId="7BFEF9EE" w14:textId="77777777" w:rsidR="00F023D8" w:rsidRPr="005F2DC3" w:rsidRDefault="00F023D8" w:rsidP="00F023D8">
          <w:pPr>
            <w:tabs>
              <w:tab w:val="center" w:pos="4320"/>
              <w:tab w:val="right" w:pos="8640"/>
            </w:tabs>
            <w:jc w:val="right"/>
            <w:rPr>
              <w:b/>
              <w:sz w:val="20"/>
            </w:rPr>
          </w:pPr>
          <w:r w:rsidRPr="005F2DC3">
            <w:rPr>
              <w:b/>
              <w:sz w:val="20"/>
            </w:rPr>
            <w:t xml:space="preserve">Page </w:t>
          </w:r>
          <w:r w:rsidRPr="005F2DC3">
            <w:rPr>
              <w:b/>
              <w:sz w:val="20"/>
            </w:rPr>
            <w:fldChar w:fldCharType="begin"/>
          </w:r>
          <w:r w:rsidRPr="005F2DC3">
            <w:rPr>
              <w:b/>
              <w:sz w:val="20"/>
            </w:rPr>
            <w:instrText xml:space="preserve"> PAGE </w:instrText>
          </w:r>
          <w:r w:rsidRPr="005F2DC3">
            <w:rPr>
              <w:b/>
              <w:sz w:val="20"/>
            </w:rPr>
            <w:fldChar w:fldCharType="separate"/>
          </w:r>
          <w:r w:rsidR="00E26FB9">
            <w:rPr>
              <w:b/>
              <w:noProof/>
              <w:sz w:val="20"/>
            </w:rPr>
            <w:t>5</w:t>
          </w:r>
          <w:r w:rsidRPr="005F2DC3">
            <w:rPr>
              <w:b/>
              <w:sz w:val="20"/>
            </w:rPr>
            <w:fldChar w:fldCharType="end"/>
          </w:r>
        </w:p>
      </w:tc>
    </w:tr>
    <w:tr w:rsidR="00733630" w:rsidRPr="005F2DC3" w14:paraId="3EC9CFBF" w14:textId="77777777" w:rsidTr="00B108CD">
      <w:tc>
        <w:tcPr>
          <w:tcW w:w="3906" w:type="dxa"/>
          <w:shd w:val="clear" w:color="auto" w:fill="auto"/>
          <w:vAlign w:val="bottom"/>
        </w:tcPr>
        <w:p w14:paraId="15196E4E" w14:textId="77777777" w:rsidR="00733630" w:rsidRPr="005F2DC3" w:rsidRDefault="00733630" w:rsidP="00733630">
          <w:pPr>
            <w:tabs>
              <w:tab w:val="center" w:pos="4320"/>
              <w:tab w:val="right" w:pos="8640"/>
            </w:tabs>
            <w:rPr>
              <w:b/>
              <w:sz w:val="20"/>
            </w:rPr>
          </w:pPr>
          <w:r w:rsidRPr="005F2DC3">
            <w:rPr>
              <w:b/>
              <w:sz w:val="20"/>
            </w:rPr>
            <w:t>Fannie Mae</w:t>
          </w:r>
        </w:p>
      </w:tc>
      <w:tc>
        <w:tcPr>
          <w:tcW w:w="2600" w:type="dxa"/>
          <w:shd w:val="clear" w:color="auto" w:fill="auto"/>
        </w:tcPr>
        <w:p w14:paraId="0BA95552" w14:textId="645A0929" w:rsidR="00733630" w:rsidRPr="005F2DC3" w:rsidRDefault="00733630" w:rsidP="00733630">
          <w:pPr>
            <w:tabs>
              <w:tab w:val="center" w:pos="4320"/>
              <w:tab w:val="right" w:pos="8640"/>
            </w:tabs>
            <w:jc w:val="center"/>
            <w:rPr>
              <w:b/>
              <w:sz w:val="20"/>
            </w:rPr>
          </w:pPr>
          <w:r>
            <w:rPr>
              <w:b/>
              <w:bCs/>
              <w:sz w:val="20"/>
            </w:rPr>
            <w:t>12-22</w:t>
          </w:r>
        </w:p>
      </w:tc>
      <w:tc>
        <w:tcPr>
          <w:tcW w:w="3092" w:type="dxa"/>
          <w:shd w:val="clear" w:color="auto" w:fill="auto"/>
        </w:tcPr>
        <w:p w14:paraId="7A3AD9FE" w14:textId="3DDCCC2D" w:rsidR="00733630" w:rsidRPr="005F2DC3" w:rsidRDefault="00733630" w:rsidP="00733630">
          <w:pPr>
            <w:tabs>
              <w:tab w:val="center" w:pos="4320"/>
              <w:tab w:val="right" w:pos="8640"/>
            </w:tabs>
            <w:jc w:val="right"/>
            <w:rPr>
              <w:b/>
              <w:sz w:val="20"/>
            </w:rPr>
          </w:pPr>
          <w:r>
            <w:rPr>
              <w:b/>
              <w:bCs/>
              <w:sz w:val="20"/>
            </w:rPr>
            <w:t>© 2022 Fannie Mae</w:t>
          </w:r>
        </w:p>
      </w:tc>
    </w:tr>
  </w:tbl>
  <w:p w14:paraId="5F33B092" w14:textId="77777777" w:rsidR="0088033F" w:rsidRPr="007B3F15" w:rsidRDefault="0088033F" w:rsidP="007B3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0B74" w14:textId="77777777" w:rsidR="0088033F" w:rsidRDefault="0088033F" w:rsidP="007B3F15">
    <w:pPr>
      <w:rPr>
        <w:sz w:val="20"/>
      </w:rPr>
    </w:pPr>
  </w:p>
  <w:tbl>
    <w:tblPr>
      <w:tblW w:w="9598" w:type="dxa"/>
      <w:tblInd w:w="-90" w:type="dxa"/>
      <w:tblLook w:val="01E0" w:firstRow="1" w:lastRow="1" w:firstColumn="1" w:lastColumn="1" w:noHBand="0" w:noVBand="0"/>
    </w:tblPr>
    <w:tblGrid>
      <w:gridCol w:w="3906"/>
      <w:gridCol w:w="2600"/>
      <w:gridCol w:w="3092"/>
    </w:tblGrid>
    <w:tr w:rsidR="0088033F" w:rsidRPr="005F2DC3" w14:paraId="555D6560" w14:textId="77777777" w:rsidTr="00820DC9">
      <w:tc>
        <w:tcPr>
          <w:tcW w:w="3906" w:type="dxa"/>
          <w:shd w:val="clear" w:color="auto" w:fill="auto"/>
          <w:vAlign w:val="bottom"/>
        </w:tcPr>
        <w:p w14:paraId="2344275A" w14:textId="77777777" w:rsidR="0088033F" w:rsidRPr="005F2DC3" w:rsidRDefault="0088033F" w:rsidP="00F023D8">
          <w:pPr>
            <w:tabs>
              <w:tab w:val="center" w:pos="4320"/>
              <w:tab w:val="right" w:pos="8640"/>
            </w:tabs>
            <w:rPr>
              <w:b/>
              <w:sz w:val="20"/>
            </w:rPr>
          </w:pPr>
          <w:r w:rsidRPr="005F2DC3">
            <w:rPr>
              <w:b/>
              <w:sz w:val="20"/>
            </w:rPr>
            <w:t>Modifications to Multifamily Loan and Security Agreement (</w:t>
          </w:r>
          <w:r w:rsidR="00F023D8">
            <w:rPr>
              <w:b/>
              <w:sz w:val="20"/>
            </w:rPr>
            <w:t>1031 Exchange</w:t>
          </w:r>
          <w:r w:rsidRPr="005F2DC3">
            <w:rPr>
              <w:b/>
              <w:sz w:val="20"/>
            </w:rPr>
            <w:t>)</w:t>
          </w:r>
        </w:p>
      </w:tc>
      <w:tc>
        <w:tcPr>
          <w:tcW w:w="2600" w:type="dxa"/>
          <w:shd w:val="clear" w:color="auto" w:fill="auto"/>
          <w:vAlign w:val="bottom"/>
        </w:tcPr>
        <w:p w14:paraId="08A662BE" w14:textId="77777777" w:rsidR="0088033F" w:rsidRPr="005F2DC3" w:rsidRDefault="0088033F" w:rsidP="002846A4">
          <w:pPr>
            <w:tabs>
              <w:tab w:val="center" w:pos="4320"/>
              <w:tab w:val="right" w:pos="8640"/>
            </w:tabs>
            <w:jc w:val="center"/>
            <w:rPr>
              <w:b/>
              <w:sz w:val="20"/>
            </w:rPr>
          </w:pPr>
          <w:r w:rsidRPr="005F2DC3">
            <w:rPr>
              <w:b/>
              <w:sz w:val="20"/>
            </w:rPr>
            <w:t>F</w:t>
          </w:r>
          <w:r w:rsidR="00F023D8">
            <w:rPr>
              <w:b/>
              <w:sz w:val="20"/>
            </w:rPr>
            <w:t>orm 62</w:t>
          </w:r>
          <w:r w:rsidR="002846A4">
            <w:rPr>
              <w:b/>
              <w:sz w:val="20"/>
            </w:rPr>
            <w:t>44</w:t>
          </w:r>
        </w:p>
      </w:tc>
      <w:tc>
        <w:tcPr>
          <w:tcW w:w="3092" w:type="dxa"/>
          <w:shd w:val="clear" w:color="auto" w:fill="auto"/>
          <w:vAlign w:val="bottom"/>
        </w:tcPr>
        <w:p w14:paraId="7226CB97" w14:textId="77777777" w:rsidR="0088033F" w:rsidRPr="005F2DC3" w:rsidRDefault="0088033F" w:rsidP="005F2DC3">
          <w:pPr>
            <w:tabs>
              <w:tab w:val="center" w:pos="4320"/>
              <w:tab w:val="right" w:pos="8640"/>
            </w:tabs>
            <w:jc w:val="right"/>
            <w:rPr>
              <w:b/>
              <w:sz w:val="20"/>
            </w:rPr>
          </w:pPr>
          <w:r w:rsidRPr="005F2DC3">
            <w:rPr>
              <w:b/>
              <w:sz w:val="20"/>
            </w:rPr>
            <w:t xml:space="preserve">Page </w:t>
          </w:r>
          <w:r w:rsidRPr="005F2DC3">
            <w:rPr>
              <w:b/>
              <w:sz w:val="20"/>
            </w:rPr>
            <w:fldChar w:fldCharType="begin"/>
          </w:r>
          <w:r w:rsidRPr="005F2DC3">
            <w:rPr>
              <w:b/>
              <w:sz w:val="20"/>
            </w:rPr>
            <w:instrText xml:space="preserve"> PAGE </w:instrText>
          </w:r>
          <w:r w:rsidRPr="005F2DC3">
            <w:rPr>
              <w:b/>
              <w:sz w:val="20"/>
            </w:rPr>
            <w:fldChar w:fldCharType="separate"/>
          </w:r>
          <w:r w:rsidR="00E26FB9">
            <w:rPr>
              <w:b/>
              <w:noProof/>
              <w:sz w:val="20"/>
            </w:rPr>
            <w:t>1</w:t>
          </w:r>
          <w:r w:rsidRPr="005F2DC3">
            <w:rPr>
              <w:b/>
              <w:sz w:val="20"/>
            </w:rPr>
            <w:fldChar w:fldCharType="end"/>
          </w:r>
        </w:p>
      </w:tc>
    </w:tr>
    <w:tr w:rsidR="00733630" w:rsidRPr="005F2DC3" w14:paraId="31CFDF4A" w14:textId="77777777" w:rsidTr="001C4D21">
      <w:tc>
        <w:tcPr>
          <w:tcW w:w="3906" w:type="dxa"/>
          <w:shd w:val="clear" w:color="auto" w:fill="auto"/>
          <w:vAlign w:val="bottom"/>
        </w:tcPr>
        <w:p w14:paraId="7B070816" w14:textId="77777777" w:rsidR="00733630" w:rsidRPr="005F2DC3" w:rsidRDefault="00733630" w:rsidP="00733630">
          <w:pPr>
            <w:tabs>
              <w:tab w:val="center" w:pos="4320"/>
              <w:tab w:val="right" w:pos="8640"/>
            </w:tabs>
            <w:rPr>
              <w:b/>
              <w:sz w:val="20"/>
            </w:rPr>
          </w:pPr>
          <w:r w:rsidRPr="005F2DC3">
            <w:rPr>
              <w:b/>
              <w:sz w:val="20"/>
            </w:rPr>
            <w:t>Fannie Mae</w:t>
          </w:r>
        </w:p>
      </w:tc>
      <w:tc>
        <w:tcPr>
          <w:tcW w:w="2600" w:type="dxa"/>
          <w:shd w:val="clear" w:color="auto" w:fill="auto"/>
        </w:tcPr>
        <w:p w14:paraId="57CE29A1" w14:textId="242032CC" w:rsidR="00733630" w:rsidRPr="005F2DC3" w:rsidRDefault="00733630" w:rsidP="00733630">
          <w:pPr>
            <w:tabs>
              <w:tab w:val="center" w:pos="4320"/>
              <w:tab w:val="right" w:pos="8640"/>
            </w:tabs>
            <w:jc w:val="center"/>
            <w:rPr>
              <w:b/>
              <w:sz w:val="20"/>
            </w:rPr>
          </w:pPr>
          <w:r>
            <w:rPr>
              <w:b/>
              <w:bCs/>
              <w:sz w:val="20"/>
            </w:rPr>
            <w:t>12-22</w:t>
          </w:r>
        </w:p>
      </w:tc>
      <w:tc>
        <w:tcPr>
          <w:tcW w:w="3092" w:type="dxa"/>
          <w:shd w:val="clear" w:color="auto" w:fill="auto"/>
        </w:tcPr>
        <w:p w14:paraId="1B1FE639" w14:textId="569DFB6A" w:rsidR="00733630" w:rsidRPr="005F2DC3" w:rsidRDefault="00733630" w:rsidP="00733630">
          <w:pPr>
            <w:tabs>
              <w:tab w:val="center" w:pos="4320"/>
              <w:tab w:val="right" w:pos="8640"/>
            </w:tabs>
            <w:jc w:val="right"/>
            <w:rPr>
              <w:b/>
              <w:sz w:val="20"/>
            </w:rPr>
          </w:pPr>
          <w:r>
            <w:rPr>
              <w:b/>
              <w:bCs/>
              <w:sz w:val="20"/>
            </w:rPr>
            <w:t>© 2022 Fannie Mae</w:t>
          </w:r>
        </w:p>
      </w:tc>
    </w:tr>
  </w:tbl>
  <w:p w14:paraId="0EB5F7C5" w14:textId="77777777" w:rsidR="0088033F" w:rsidRPr="007B3F15" w:rsidRDefault="0088033F" w:rsidP="007B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FD48" w14:textId="77777777" w:rsidR="00D422E3" w:rsidRDefault="00D422E3">
      <w:r>
        <w:separator/>
      </w:r>
    </w:p>
  </w:footnote>
  <w:footnote w:type="continuationSeparator" w:id="0">
    <w:p w14:paraId="79D4AA71" w14:textId="77777777" w:rsidR="00D422E3" w:rsidRDefault="00D42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0D0"/>
    <w:multiLevelType w:val="hybridMultilevel"/>
    <w:tmpl w:val="E6C25D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B3537F"/>
    <w:multiLevelType w:val="hybridMultilevel"/>
    <w:tmpl w:val="2AF4161C"/>
    <w:lvl w:ilvl="0" w:tplc="C6E2606A">
      <w:start w:val="1"/>
      <w:numFmt w:val="decimal"/>
      <w:lvlText w:val="%1)"/>
      <w:lvlJc w:val="left"/>
      <w:pPr>
        <w:tabs>
          <w:tab w:val="num" w:pos="720"/>
        </w:tabs>
        <w:ind w:left="720" w:hanging="360"/>
      </w:pPr>
      <w:rPr>
        <w:b w:val="0"/>
        <w:color w:val="000000"/>
      </w:rPr>
    </w:lvl>
    <w:lvl w:ilvl="1" w:tplc="04090019">
      <w:start w:val="1"/>
      <w:numFmt w:val="lowerLetter"/>
      <w:lvlText w:val="%2."/>
      <w:lvlJc w:val="left"/>
      <w:pPr>
        <w:tabs>
          <w:tab w:val="num" w:pos="1440"/>
        </w:tabs>
        <w:ind w:left="1440" w:hanging="360"/>
      </w:pPr>
    </w:lvl>
    <w:lvl w:ilvl="2" w:tplc="80E8EA70">
      <w:start w:val="1"/>
      <w:numFmt w:val="lowerRoman"/>
      <w:lvlText w:val="%3."/>
      <w:lvlJc w:val="right"/>
      <w:pPr>
        <w:tabs>
          <w:tab w:val="num" w:pos="360"/>
        </w:tabs>
        <w:ind w:left="360" w:hanging="180"/>
      </w:pPr>
      <w:rPr>
        <w:rFonts w:ascii="Times New Roman" w:eastAsia="Calibri"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C2048B"/>
    <w:multiLevelType w:val="multilevel"/>
    <w:tmpl w:val="E6224640"/>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E86148A"/>
    <w:multiLevelType w:val="hybridMultilevel"/>
    <w:tmpl w:val="B2DEA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0067F"/>
    <w:multiLevelType w:val="hybridMultilevel"/>
    <w:tmpl w:val="CA20A862"/>
    <w:lvl w:ilvl="0" w:tplc="573AA942">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strike w:val="0"/>
        <w:dstrike w:val="0"/>
        <w:u w:val="none"/>
        <w:effect w:val="none"/>
      </w:rPr>
    </w:lvl>
    <w:lvl w:ilvl="5">
      <w:start w:val="1"/>
      <w:numFmt w:val="decimal"/>
      <w:lvlText w:val="(%6)"/>
      <w:lvlJc w:val="left"/>
      <w:pPr>
        <w:tabs>
          <w:tab w:val="num" w:pos="3960"/>
        </w:tabs>
        <w:ind w:left="0" w:firstLine="3600"/>
      </w:pPr>
      <w:rPr>
        <w:strike w:val="0"/>
        <w:dstrike w:val="0"/>
        <w:u w:val="none"/>
        <w:effect w:val="none"/>
      </w:rPr>
    </w:lvl>
    <w:lvl w:ilvl="6">
      <w:start w:val="1"/>
      <w:numFmt w:val="upperRoman"/>
      <w:lvlText w:val="%7."/>
      <w:lvlJc w:val="left"/>
      <w:pPr>
        <w:tabs>
          <w:tab w:val="num" w:pos="1440"/>
        </w:tabs>
        <w:ind w:left="1440" w:hanging="720"/>
      </w:pPr>
      <w:rPr>
        <w:strike w:val="0"/>
        <w:dstrike w:val="0"/>
        <w:u w:val="none"/>
        <w:effect w:val="none"/>
      </w:rPr>
    </w:lvl>
    <w:lvl w:ilvl="7">
      <w:start w:val="1"/>
      <w:numFmt w:val="upperLetter"/>
      <w:lvlText w:val="%8."/>
      <w:lvlJc w:val="left"/>
      <w:pPr>
        <w:tabs>
          <w:tab w:val="num" w:pos="2160"/>
        </w:tabs>
        <w:ind w:left="2160" w:hanging="720"/>
      </w:pPr>
      <w:rPr>
        <w:strike w:val="0"/>
        <w:dstrike w:val="0"/>
        <w:u w:val="none"/>
        <w:effect w:val="none"/>
      </w:rPr>
    </w:lvl>
    <w:lvl w:ilvl="8">
      <w:start w:val="1"/>
      <w:numFmt w:val="decimal"/>
      <w:lvlText w:val="%9."/>
      <w:lvlJc w:val="left"/>
      <w:pPr>
        <w:tabs>
          <w:tab w:val="num" w:pos="2880"/>
        </w:tabs>
        <w:ind w:left="2880" w:hanging="720"/>
      </w:pPr>
      <w:rPr>
        <w:strike w:val="0"/>
        <w:dstrike w:val="0"/>
        <w:u w:val="none"/>
        <w:effect w:val="none"/>
      </w:rPr>
    </w:lvl>
  </w:abstractNum>
  <w:abstractNum w:abstractNumId="6" w15:restartNumberingAfterBreak="0">
    <w:nsid w:val="3AF61CD2"/>
    <w:multiLevelType w:val="multilevel"/>
    <w:tmpl w:val="15BC323E"/>
    <w:lvl w:ilvl="0">
      <w:start w:val="1"/>
      <w:numFmt w:val="decimal"/>
      <w:lvlText w:val="%1."/>
      <w:lvlJc w:val="left"/>
      <w:pPr>
        <w:tabs>
          <w:tab w:val="num" w:pos="1440"/>
        </w:tabs>
        <w:ind w:left="0" w:firstLine="720"/>
      </w:pPr>
      <w:rPr>
        <w:rFonts w:ascii="Times New Roman Bold" w:hAnsi="Times New Roman Bold" w:hint="default"/>
        <w:b/>
        <w:i w:val="0"/>
        <w:sz w:val="24"/>
        <w:szCs w:val="24"/>
        <w:u w:val="none"/>
      </w:rPr>
    </w:lvl>
    <w:lvl w:ilvl="1">
      <w:start w:val="1"/>
      <w:numFmt w:val="lowerLetter"/>
      <w:lvlText w:val="(%2)"/>
      <w:lvlJc w:val="left"/>
      <w:pPr>
        <w:tabs>
          <w:tab w:val="num" w:pos="2160"/>
        </w:tabs>
        <w:ind w:left="0" w:firstLine="1440"/>
      </w:pPr>
      <w:rPr>
        <w:rFonts w:ascii="Times New Roman" w:hAnsi="Times New Roman" w:hint="default"/>
        <w:b w:val="0"/>
        <w:i w:val="0"/>
        <w:sz w:val="24"/>
        <w:szCs w:val="24"/>
        <w:u w:val="none"/>
      </w:rPr>
    </w:lvl>
    <w:lvl w:ilvl="2">
      <w:start w:val="1"/>
      <w:numFmt w:val="lowerRoman"/>
      <w:lvlText w:val="(%3)"/>
      <w:lvlJc w:val="left"/>
      <w:pPr>
        <w:tabs>
          <w:tab w:val="num" w:pos="2880"/>
        </w:tabs>
        <w:ind w:left="720" w:firstLine="1440"/>
      </w:pPr>
      <w:rPr>
        <w:rFonts w:ascii="Times New Roman" w:hAnsi="Times New Roman" w:hint="default"/>
        <w:b w:val="0"/>
        <w:i w:val="0"/>
        <w:sz w:val="24"/>
        <w:szCs w:val="24"/>
      </w:rPr>
    </w:lvl>
    <w:lvl w:ilvl="3">
      <w:start w:val="1"/>
      <w:numFmt w:val="decimal"/>
      <w:lvlText w:val="(%4)"/>
      <w:lvlJc w:val="left"/>
      <w:pPr>
        <w:tabs>
          <w:tab w:val="num" w:pos="3600"/>
        </w:tabs>
        <w:ind w:left="720" w:firstLine="2160"/>
      </w:pPr>
      <w:rPr>
        <w:rFonts w:ascii="Times New Roman" w:hAnsi="Times New Roman" w:hint="default"/>
        <w:b w:val="0"/>
        <w:i w:val="0"/>
        <w:sz w:val="24"/>
        <w:szCs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47DA3607"/>
    <w:multiLevelType w:val="singleLevel"/>
    <w:tmpl w:val="E5D4B098"/>
    <w:lvl w:ilvl="0">
      <w:start w:val="2"/>
      <w:numFmt w:val="decimal"/>
      <w:lvlText w:val="(%1)"/>
      <w:lvlJc w:val="left"/>
      <w:pPr>
        <w:tabs>
          <w:tab w:val="num" w:pos="2880"/>
        </w:tabs>
        <w:ind w:left="2880" w:hanging="720"/>
      </w:pPr>
      <w:rPr>
        <w:rFonts w:hint="default"/>
      </w:rPr>
    </w:lvl>
  </w:abstractNum>
  <w:abstractNum w:abstractNumId="8" w15:restartNumberingAfterBreak="0">
    <w:nsid w:val="4B9C6172"/>
    <w:multiLevelType w:val="multilevel"/>
    <w:tmpl w:val="15BC323E"/>
    <w:lvl w:ilvl="0">
      <w:start w:val="1"/>
      <w:numFmt w:val="decimal"/>
      <w:lvlText w:val="%1."/>
      <w:lvlJc w:val="left"/>
      <w:pPr>
        <w:tabs>
          <w:tab w:val="num" w:pos="1440"/>
        </w:tabs>
        <w:ind w:left="0" w:firstLine="720"/>
      </w:pPr>
      <w:rPr>
        <w:rFonts w:ascii="Times New Roman Bold" w:hAnsi="Times New Roman Bold" w:hint="default"/>
        <w:b/>
        <w:i w:val="0"/>
        <w:sz w:val="24"/>
        <w:szCs w:val="24"/>
        <w:u w:val="none"/>
      </w:rPr>
    </w:lvl>
    <w:lvl w:ilvl="1">
      <w:start w:val="1"/>
      <w:numFmt w:val="lowerLetter"/>
      <w:lvlText w:val="(%2)"/>
      <w:lvlJc w:val="left"/>
      <w:pPr>
        <w:tabs>
          <w:tab w:val="num" w:pos="2160"/>
        </w:tabs>
        <w:ind w:left="0" w:firstLine="1440"/>
      </w:pPr>
      <w:rPr>
        <w:rFonts w:ascii="Times New Roman" w:hAnsi="Times New Roman" w:hint="default"/>
        <w:b w:val="0"/>
        <w:i w:val="0"/>
        <w:sz w:val="24"/>
        <w:szCs w:val="24"/>
        <w:u w:val="none"/>
      </w:rPr>
    </w:lvl>
    <w:lvl w:ilvl="2">
      <w:start w:val="1"/>
      <w:numFmt w:val="lowerRoman"/>
      <w:lvlText w:val="(%3)"/>
      <w:lvlJc w:val="left"/>
      <w:pPr>
        <w:tabs>
          <w:tab w:val="num" w:pos="2880"/>
        </w:tabs>
        <w:ind w:left="720" w:firstLine="1440"/>
      </w:pPr>
      <w:rPr>
        <w:rFonts w:ascii="Times New Roman" w:hAnsi="Times New Roman" w:hint="default"/>
        <w:b w:val="0"/>
        <w:i w:val="0"/>
        <w:sz w:val="24"/>
        <w:szCs w:val="24"/>
      </w:rPr>
    </w:lvl>
    <w:lvl w:ilvl="3">
      <w:start w:val="1"/>
      <w:numFmt w:val="decimal"/>
      <w:lvlText w:val="(%4)"/>
      <w:lvlJc w:val="left"/>
      <w:pPr>
        <w:tabs>
          <w:tab w:val="num" w:pos="3600"/>
        </w:tabs>
        <w:ind w:left="720" w:firstLine="2160"/>
      </w:pPr>
      <w:rPr>
        <w:rFonts w:ascii="Times New Roman" w:hAnsi="Times New Roman" w:hint="default"/>
        <w:b w:val="0"/>
        <w:i w:val="0"/>
        <w:sz w:val="24"/>
        <w:szCs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54A224B5"/>
    <w:multiLevelType w:val="multilevel"/>
    <w:tmpl w:val="15BC323E"/>
    <w:lvl w:ilvl="0">
      <w:start w:val="1"/>
      <w:numFmt w:val="decimal"/>
      <w:lvlText w:val="%1."/>
      <w:lvlJc w:val="left"/>
      <w:pPr>
        <w:tabs>
          <w:tab w:val="num" w:pos="1440"/>
        </w:tabs>
        <w:ind w:left="0" w:firstLine="720"/>
      </w:pPr>
      <w:rPr>
        <w:rFonts w:ascii="Times New Roman Bold" w:hAnsi="Times New Roman Bold" w:hint="default"/>
        <w:b/>
        <w:i w:val="0"/>
        <w:sz w:val="24"/>
        <w:szCs w:val="24"/>
        <w:u w:val="none"/>
      </w:rPr>
    </w:lvl>
    <w:lvl w:ilvl="1">
      <w:start w:val="1"/>
      <w:numFmt w:val="lowerLetter"/>
      <w:lvlText w:val="(%2)"/>
      <w:lvlJc w:val="left"/>
      <w:pPr>
        <w:tabs>
          <w:tab w:val="num" w:pos="2160"/>
        </w:tabs>
        <w:ind w:left="0" w:firstLine="1440"/>
      </w:pPr>
      <w:rPr>
        <w:rFonts w:ascii="Times New Roman" w:hAnsi="Times New Roman" w:hint="default"/>
        <w:b w:val="0"/>
        <w:i w:val="0"/>
        <w:sz w:val="24"/>
        <w:szCs w:val="24"/>
        <w:u w:val="none"/>
      </w:rPr>
    </w:lvl>
    <w:lvl w:ilvl="2">
      <w:start w:val="1"/>
      <w:numFmt w:val="lowerRoman"/>
      <w:lvlText w:val="(%3)"/>
      <w:lvlJc w:val="left"/>
      <w:pPr>
        <w:tabs>
          <w:tab w:val="num" w:pos="2880"/>
        </w:tabs>
        <w:ind w:left="720" w:firstLine="1440"/>
      </w:pPr>
      <w:rPr>
        <w:rFonts w:ascii="Times New Roman" w:hAnsi="Times New Roman" w:hint="default"/>
        <w:b w:val="0"/>
        <w:i w:val="0"/>
        <w:sz w:val="24"/>
        <w:szCs w:val="24"/>
      </w:rPr>
    </w:lvl>
    <w:lvl w:ilvl="3">
      <w:start w:val="1"/>
      <w:numFmt w:val="decimal"/>
      <w:lvlText w:val="(%4)"/>
      <w:lvlJc w:val="left"/>
      <w:pPr>
        <w:tabs>
          <w:tab w:val="num" w:pos="3600"/>
        </w:tabs>
        <w:ind w:left="720" w:firstLine="2160"/>
      </w:pPr>
      <w:rPr>
        <w:rFonts w:ascii="Times New Roman" w:hAnsi="Times New Roman" w:hint="default"/>
        <w:b w:val="0"/>
        <w:i w:val="0"/>
        <w:sz w:val="24"/>
        <w:szCs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683050D6"/>
    <w:multiLevelType w:val="hybridMultilevel"/>
    <w:tmpl w:val="6DE0817A"/>
    <w:lvl w:ilvl="0" w:tplc="36D4B94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8AB2FE6"/>
    <w:multiLevelType w:val="hybridMultilevel"/>
    <w:tmpl w:val="26088040"/>
    <w:lvl w:ilvl="0" w:tplc="3990D474">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9DD11D7"/>
    <w:multiLevelType w:val="multilevel"/>
    <w:tmpl w:val="15BC323E"/>
    <w:lvl w:ilvl="0">
      <w:start w:val="1"/>
      <w:numFmt w:val="decimal"/>
      <w:lvlText w:val="%1."/>
      <w:lvlJc w:val="left"/>
      <w:pPr>
        <w:tabs>
          <w:tab w:val="num" w:pos="1440"/>
        </w:tabs>
        <w:ind w:left="0" w:firstLine="720"/>
      </w:pPr>
      <w:rPr>
        <w:rFonts w:ascii="Times New Roman Bold" w:hAnsi="Times New Roman Bold" w:hint="default"/>
        <w:b/>
        <w:i w:val="0"/>
        <w:sz w:val="24"/>
        <w:szCs w:val="24"/>
        <w:u w:val="none"/>
      </w:rPr>
    </w:lvl>
    <w:lvl w:ilvl="1">
      <w:start w:val="1"/>
      <w:numFmt w:val="lowerLetter"/>
      <w:lvlText w:val="(%2)"/>
      <w:lvlJc w:val="left"/>
      <w:pPr>
        <w:tabs>
          <w:tab w:val="num" w:pos="2160"/>
        </w:tabs>
        <w:ind w:left="0" w:firstLine="1440"/>
      </w:pPr>
      <w:rPr>
        <w:rFonts w:ascii="Times New Roman" w:hAnsi="Times New Roman" w:hint="default"/>
        <w:b w:val="0"/>
        <w:i w:val="0"/>
        <w:sz w:val="24"/>
        <w:szCs w:val="24"/>
        <w:u w:val="none"/>
      </w:rPr>
    </w:lvl>
    <w:lvl w:ilvl="2">
      <w:start w:val="1"/>
      <w:numFmt w:val="lowerRoman"/>
      <w:lvlText w:val="(%3)"/>
      <w:lvlJc w:val="left"/>
      <w:pPr>
        <w:tabs>
          <w:tab w:val="num" w:pos="2880"/>
        </w:tabs>
        <w:ind w:left="720" w:firstLine="1440"/>
      </w:pPr>
      <w:rPr>
        <w:rFonts w:ascii="Times New Roman" w:hAnsi="Times New Roman" w:hint="default"/>
        <w:b w:val="0"/>
        <w:i w:val="0"/>
        <w:sz w:val="24"/>
        <w:szCs w:val="24"/>
      </w:rPr>
    </w:lvl>
    <w:lvl w:ilvl="3">
      <w:start w:val="1"/>
      <w:numFmt w:val="decimal"/>
      <w:lvlText w:val="(%4)"/>
      <w:lvlJc w:val="left"/>
      <w:pPr>
        <w:tabs>
          <w:tab w:val="num" w:pos="3600"/>
        </w:tabs>
        <w:ind w:left="720" w:firstLine="2160"/>
      </w:pPr>
      <w:rPr>
        <w:rFonts w:ascii="Times New Roman" w:hAnsi="Times New Roman" w:hint="default"/>
        <w:b w:val="0"/>
        <w:i w:val="0"/>
        <w:sz w:val="24"/>
        <w:szCs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6A144696"/>
    <w:multiLevelType w:val="multilevel"/>
    <w:tmpl w:val="E6C25D0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753D7513"/>
    <w:multiLevelType w:val="multilevel"/>
    <w:tmpl w:val="53A8B344"/>
    <w:lvl w:ilvl="0">
      <w:start w:val="1"/>
      <w:numFmt w:val="decimal"/>
      <w:lvlText w:val="%1."/>
      <w:lvlJc w:val="left"/>
      <w:pPr>
        <w:tabs>
          <w:tab w:val="num" w:pos="1440"/>
        </w:tabs>
        <w:ind w:left="0" w:firstLine="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strike w:val="0"/>
        <w:dstrike w:val="0"/>
        <w:u w:val="none"/>
        <w:effect w:val="none"/>
      </w:rPr>
    </w:lvl>
    <w:lvl w:ilvl="5">
      <w:start w:val="1"/>
      <w:numFmt w:val="decimal"/>
      <w:lvlText w:val="(%6)"/>
      <w:lvlJc w:val="left"/>
      <w:pPr>
        <w:tabs>
          <w:tab w:val="num" w:pos="3960"/>
        </w:tabs>
        <w:ind w:left="0" w:firstLine="3600"/>
      </w:pPr>
      <w:rPr>
        <w:strike w:val="0"/>
        <w:dstrike w:val="0"/>
        <w:u w:val="none"/>
        <w:effect w:val="none"/>
      </w:rPr>
    </w:lvl>
    <w:lvl w:ilvl="6">
      <w:start w:val="1"/>
      <w:numFmt w:val="upperRoman"/>
      <w:lvlText w:val="%7."/>
      <w:lvlJc w:val="left"/>
      <w:pPr>
        <w:tabs>
          <w:tab w:val="num" w:pos="1440"/>
        </w:tabs>
        <w:ind w:left="1440" w:hanging="720"/>
      </w:pPr>
      <w:rPr>
        <w:strike w:val="0"/>
        <w:dstrike w:val="0"/>
        <w:u w:val="none"/>
        <w:effect w:val="none"/>
      </w:rPr>
    </w:lvl>
    <w:lvl w:ilvl="7">
      <w:start w:val="1"/>
      <w:numFmt w:val="upperLetter"/>
      <w:lvlText w:val="%8."/>
      <w:lvlJc w:val="left"/>
      <w:pPr>
        <w:tabs>
          <w:tab w:val="num" w:pos="2160"/>
        </w:tabs>
        <w:ind w:left="2160" w:hanging="720"/>
      </w:pPr>
      <w:rPr>
        <w:strike w:val="0"/>
        <w:dstrike w:val="0"/>
        <w:u w:val="none"/>
        <w:effect w:val="none"/>
      </w:rPr>
    </w:lvl>
    <w:lvl w:ilvl="8">
      <w:start w:val="1"/>
      <w:numFmt w:val="decimal"/>
      <w:lvlText w:val="%9."/>
      <w:lvlJc w:val="left"/>
      <w:pPr>
        <w:tabs>
          <w:tab w:val="num" w:pos="2880"/>
        </w:tabs>
        <w:ind w:left="2880" w:hanging="720"/>
      </w:pPr>
      <w:rPr>
        <w:strike w:val="0"/>
        <w:dstrike w:val="0"/>
        <w:u w:val="none"/>
        <w:effect w:val="none"/>
      </w:rPr>
    </w:lvl>
  </w:abstractNum>
  <w:num w:numId="1">
    <w:abstractNumId w:val="7"/>
  </w:num>
  <w:num w:numId="2">
    <w:abstractNumId w:val="2"/>
  </w:num>
  <w:num w:numId="3">
    <w:abstractNumId w:val="10"/>
  </w:num>
  <w:num w:numId="4">
    <w:abstractNumId w:val="0"/>
  </w:num>
  <w:num w:numId="5">
    <w:abstractNumId w:val="13"/>
  </w:num>
  <w:num w:numId="6">
    <w:abstractNumId w:val="11"/>
  </w:num>
  <w:num w:numId="7">
    <w:abstractNumId w:val="4"/>
  </w:num>
  <w:num w:numId="8">
    <w:abstractNumId w:val="6"/>
  </w:num>
  <w:num w:numId="9">
    <w:abstractNumId w:val="9"/>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4B"/>
    <w:rsid w:val="0000153D"/>
    <w:rsid w:val="00006C8C"/>
    <w:rsid w:val="0001014B"/>
    <w:rsid w:val="00011BCD"/>
    <w:rsid w:val="000276BF"/>
    <w:rsid w:val="00031D79"/>
    <w:rsid w:val="00032C67"/>
    <w:rsid w:val="00040767"/>
    <w:rsid w:val="00044B33"/>
    <w:rsid w:val="000454B3"/>
    <w:rsid w:val="00054597"/>
    <w:rsid w:val="00055E8D"/>
    <w:rsid w:val="00065BF2"/>
    <w:rsid w:val="00086EFC"/>
    <w:rsid w:val="000920B9"/>
    <w:rsid w:val="000921C2"/>
    <w:rsid w:val="000935F8"/>
    <w:rsid w:val="00096B21"/>
    <w:rsid w:val="000A0DC5"/>
    <w:rsid w:val="000A7845"/>
    <w:rsid w:val="000B19CB"/>
    <w:rsid w:val="000C14AB"/>
    <w:rsid w:val="000C2535"/>
    <w:rsid w:val="000C7DA6"/>
    <w:rsid w:val="000D4840"/>
    <w:rsid w:val="000E0865"/>
    <w:rsid w:val="000F7818"/>
    <w:rsid w:val="001054F6"/>
    <w:rsid w:val="00105F78"/>
    <w:rsid w:val="00116BDF"/>
    <w:rsid w:val="00117D6C"/>
    <w:rsid w:val="001345FB"/>
    <w:rsid w:val="00137D6E"/>
    <w:rsid w:val="001477C7"/>
    <w:rsid w:val="00153DDC"/>
    <w:rsid w:val="0016367A"/>
    <w:rsid w:val="00173415"/>
    <w:rsid w:val="00180655"/>
    <w:rsid w:val="00181AFF"/>
    <w:rsid w:val="00190735"/>
    <w:rsid w:val="00194867"/>
    <w:rsid w:val="001A3373"/>
    <w:rsid w:val="001B26BA"/>
    <w:rsid w:val="001C0E27"/>
    <w:rsid w:val="001D5917"/>
    <w:rsid w:val="001D6395"/>
    <w:rsid w:val="001E321F"/>
    <w:rsid w:val="001E75D6"/>
    <w:rsid w:val="001F0584"/>
    <w:rsid w:val="002027F8"/>
    <w:rsid w:val="00206B6A"/>
    <w:rsid w:val="0021348F"/>
    <w:rsid w:val="00214C7D"/>
    <w:rsid w:val="00216A26"/>
    <w:rsid w:val="00223ADF"/>
    <w:rsid w:val="0024174F"/>
    <w:rsid w:val="0025063E"/>
    <w:rsid w:val="0025564C"/>
    <w:rsid w:val="00263CBB"/>
    <w:rsid w:val="002846A4"/>
    <w:rsid w:val="00297BD5"/>
    <w:rsid w:val="002A487C"/>
    <w:rsid w:val="002A772F"/>
    <w:rsid w:val="002B276B"/>
    <w:rsid w:val="002C3F78"/>
    <w:rsid w:val="002D3930"/>
    <w:rsid w:val="002F3D73"/>
    <w:rsid w:val="002F42DD"/>
    <w:rsid w:val="002F5E6D"/>
    <w:rsid w:val="003114A1"/>
    <w:rsid w:val="0031233D"/>
    <w:rsid w:val="0031707C"/>
    <w:rsid w:val="0032194B"/>
    <w:rsid w:val="00324592"/>
    <w:rsid w:val="00324613"/>
    <w:rsid w:val="00347CAB"/>
    <w:rsid w:val="00366632"/>
    <w:rsid w:val="00371EE9"/>
    <w:rsid w:val="003727C7"/>
    <w:rsid w:val="003832A6"/>
    <w:rsid w:val="0039219A"/>
    <w:rsid w:val="003A0327"/>
    <w:rsid w:val="003A1295"/>
    <w:rsid w:val="003C318F"/>
    <w:rsid w:val="003C563C"/>
    <w:rsid w:val="003D5ADB"/>
    <w:rsid w:val="003D7FB4"/>
    <w:rsid w:val="003E66AD"/>
    <w:rsid w:val="003F3FF6"/>
    <w:rsid w:val="003F43BF"/>
    <w:rsid w:val="004014D6"/>
    <w:rsid w:val="00403E49"/>
    <w:rsid w:val="00411772"/>
    <w:rsid w:val="0042128D"/>
    <w:rsid w:val="00422C41"/>
    <w:rsid w:val="00437F38"/>
    <w:rsid w:val="00442BF0"/>
    <w:rsid w:val="0045304A"/>
    <w:rsid w:val="004644B1"/>
    <w:rsid w:val="004707F6"/>
    <w:rsid w:val="00474F4E"/>
    <w:rsid w:val="00493781"/>
    <w:rsid w:val="004A55B0"/>
    <w:rsid w:val="004A61A6"/>
    <w:rsid w:val="004B12F8"/>
    <w:rsid w:val="004D33AA"/>
    <w:rsid w:val="004E5D90"/>
    <w:rsid w:val="004F2948"/>
    <w:rsid w:val="005001FE"/>
    <w:rsid w:val="0050745B"/>
    <w:rsid w:val="00511F39"/>
    <w:rsid w:val="005142AD"/>
    <w:rsid w:val="00525AB8"/>
    <w:rsid w:val="00532D07"/>
    <w:rsid w:val="00533EFA"/>
    <w:rsid w:val="005352F4"/>
    <w:rsid w:val="00550016"/>
    <w:rsid w:val="005A0DB2"/>
    <w:rsid w:val="005A3889"/>
    <w:rsid w:val="005A3E95"/>
    <w:rsid w:val="005C3635"/>
    <w:rsid w:val="005D593D"/>
    <w:rsid w:val="005D5BC7"/>
    <w:rsid w:val="005D646D"/>
    <w:rsid w:val="005F2DC3"/>
    <w:rsid w:val="00600C00"/>
    <w:rsid w:val="006053D7"/>
    <w:rsid w:val="0060562C"/>
    <w:rsid w:val="00615C63"/>
    <w:rsid w:val="00644A35"/>
    <w:rsid w:val="00650896"/>
    <w:rsid w:val="00656AB6"/>
    <w:rsid w:val="00672A23"/>
    <w:rsid w:val="00673E91"/>
    <w:rsid w:val="0069500B"/>
    <w:rsid w:val="00697478"/>
    <w:rsid w:val="006C023E"/>
    <w:rsid w:val="006D564B"/>
    <w:rsid w:val="006E40C9"/>
    <w:rsid w:val="006F612C"/>
    <w:rsid w:val="007008DE"/>
    <w:rsid w:val="00704384"/>
    <w:rsid w:val="0070519F"/>
    <w:rsid w:val="00707A47"/>
    <w:rsid w:val="007106C3"/>
    <w:rsid w:val="007109E0"/>
    <w:rsid w:val="00717264"/>
    <w:rsid w:val="00733630"/>
    <w:rsid w:val="007570A0"/>
    <w:rsid w:val="00764044"/>
    <w:rsid w:val="00771D0C"/>
    <w:rsid w:val="00772051"/>
    <w:rsid w:val="00776908"/>
    <w:rsid w:val="007805AA"/>
    <w:rsid w:val="007814D2"/>
    <w:rsid w:val="00781570"/>
    <w:rsid w:val="00786BBD"/>
    <w:rsid w:val="007B02A7"/>
    <w:rsid w:val="007B3F15"/>
    <w:rsid w:val="007B456B"/>
    <w:rsid w:val="007C3C79"/>
    <w:rsid w:val="007C49EF"/>
    <w:rsid w:val="007F1BCB"/>
    <w:rsid w:val="007F2C20"/>
    <w:rsid w:val="00820DC9"/>
    <w:rsid w:val="00825531"/>
    <w:rsid w:val="00827287"/>
    <w:rsid w:val="008277B5"/>
    <w:rsid w:val="00827CC1"/>
    <w:rsid w:val="0083219A"/>
    <w:rsid w:val="00832B8C"/>
    <w:rsid w:val="0084418B"/>
    <w:rsid w:val="0084684F"/>
    <w:rsid w:val="0085280D"/>
    <w:rsid w:val="008571AF"/>
    <w:rsid w:val="00864940"/>
    <w:rsid w:val="00877DB6"/>
    <w:rsid w:val="0088033F"/>
    <w:rsid w:val="008845C5"/>
    <w:rsid w:val="008A5245"/>
    <w:rsid w:val="008B36AF"/>
    <w:rsid w:val="008C038A"/>
    <w:rsid w:val="008D3F12"/>
    <w:rsid w:val="008E0021"/>
    <w:rsid w:val="008E04A1"/>
    <w:rsid w:val="008F2B68"/>
    <w:rsid w:val="008F7BDE"/>
    <w:rsid w:val="00902CF7"/>
    <w:rsid w:val="00910732"/>
    <w:rsid w:val="00925C65"/>
    <w:rsid w:val="00934AD4"/>
    <w:rsid w:val="009406FA"/>
    <w:rsid w:val="009429A5"/>
    <w:rsid w:val="00947044"/>
    <w:rsid w:val="009506A8"/>
    <w:rsid w:val="009733DC"/>
    <w:rsid w:val="00974DDA"/>
    <w:rsid w:val="00985D0C"/>
    <w:rsid w:val="0098612E"/>
    <w:rsid w:val="009A02C5"/>
    <w:rsid w:val="009A27CD"/>
    <w:rsid w:val="009A3655"/>
    <w:rsid w:val="009A3ADE"/>
    <w:rsid w:val="009C4134"/>
    <w:rsid w:val="009D036C"/>
    <w:rsid w:val="009D083D"/>
    <w:rsid w:val="00A0697F"/>
    <w:rsid w:val="00A20913"/>
    <w:rsid w:val="00A20D59"/>
    <w:rsid w:val="00A2472E"/>
    <w:rsid w:val="00A430B4"/>
    <w:rsid w:val="00A65DB7"/>
    <w:rsid w:val="00A73C83"/>
    <w:rsid w:val="00A91508"/>
    <w:rsid w:val="00A9384E"/>
    <w:rsid w:val="00AA22C1"/>
    <w:rsid w:val="00AD173E"/>
    <w:rsid w:val="00AF6065"/>
    <w:rsid w:val="00B0374A"/>
    <w:rsid w:val="00B16CA7"/>
    <w:rsid w:val="00B4479A"/>
    <w:rsid w:val="00B458F8"/>
    <w:rsid w:val="00B47E7D"/>
    <w:rsid w:val="00B50325"/>
    <w:rsid w:val="00B6731C"/>
    <w:rsid w:val="00B707C1"/>
    <w:rsid w:val="00B70F3D"/>
    <w:rsid w:val="00B7596F"/>
    <w:rsid w:val="00B81AD1"/>
    <w:rsid w:val="00B81C00"/>
    <w:rsid w:val="00BB15EB"/>
    <w:rsid w:val="00BC2579"/>
    <w:rsid w:val="00BD422B"/>
    <w:rsid w:val="00BD4B10"/>
    <w:rsid w:val="00BF1E5C"/>
    <w:rsid w:val="00BF4DF5"/>
    <w:rsid w:val="00C24354"/>
    <w:rsid w:val="00C346D0"/>
    <w:rsid w:val="00C40248"/>
    <w:rsid w:val="00C55BC5"/>
    <w:rsid w:val="00C6338B"/>
    <w:rsid w:val="00C670AA"/>
    <w:rsid w:val="00C71A34"/>
    <w:rsid w:val="00C77D6B"/>
    <w:rsid w:val="00C93129"/>
    <w:rsid w:val="00C95630"/>
    <w:rsid w:val="00C96EB7"/>
    <w:rsid w:val="00CA14F6"/>
    <w:rsid w:val="00CA3530"/>
    <w:rsid w:val="00CC0544"/>
    <w:rsid w:val="00CD390A"/>
    <w:rsid w:val="00CE24D1"/>
    <w:rsid w:val="00CE2683"/>
    <w:rsid w:val="00CE6092"/>
    <w:rsid w:val="00D03ACE"/>
    <w:rsid w:val="00D14499"/>
    <w:rsid w:val="00D1570C"/>
    <w:rsid w:val="00D179AE"/>
    <w:rsid w:val="00D27319"/>
    <w:rsid w:val="00D422E3"/>
    <w:rsid w:val="00D51E4F"/>
    <w:rsid w:val="00D5251B"/>
    <w:rsid w:val="00D5664C"/>
    <w:rsid w:val="00D63B73"/>
    <w:rsid w:val="00D75CDF"/>
    <w:rsid w:val="00D845A6"/>
    <w:rsid w:val="00D86E46"/>
    <w:rsid w:val="00D96C0E"/>
    <w:rsid w:val="00D97D52"/>
    <w:rsid w:val="00DA0727"/>
    <w:rsid w:val="00DA5071"/>
    <w:rsid w:val="00DB0D04"/>
    <w:rsid w:val="00DB2FBF"/>
    <w:rsid w:val="00DB60BB"/>
    <w:rsid w:val="00DB73EF"/>
    <w:rsid w:val="00DB78BB"/>
    <w:rsid w:val="00DC2054"/>
    <w:rsid w:val="00DC4FD9"/>
    <w:rsid w:val="00DC7BC9"/>
    <w:rsid w:val="00E0382A"/>
    <w:rsid w:val="00E16047"/>
    <w:rsid w:val="00E1614A"/>
    <w:rsid w:val="00E26FB9"/>
    <w:rsid w:val="00E301D6"/>
    <w:rsid w:val="00E35463"/>
    <w:rsid w:val="00E54EF8"/>
    <w:rsid w:val="00E64991"/>
    <w:rsid w:val="00E72C3A"/>
    <w:rsid w:val="00E745D8"/>
    <w:rsid w:val="00E76022"/>
    <w:rsid w:val="00E769ED"/>
    <w:rsid w:val="00E76D28"/>
    <w:rsid w:val="00EA4B74"/>
    <w:rsid w:val="00EC3F49"/>
    <w:rsid w:val="00EC7948"/>
    <w:rsid w:val="00ED0109"/>
    <w:rsid w:val="00ED19D6"/>
    <w:rsid w:val="00ED24E7"/>
    <w:rsid w:val="00ED66DA"/>
    <w:rsid w:val="00EF5740"/>
    <w:rsid w:val="00F0046E"/>
    <w:rsid w:val="00F023D8"/>
    <w:rsid w:val="00F2034B"/>
    <w:rsid w:val="00F206A5"/>
    <w:rsid w:val="00F22989"/>
    <w:rsid w:val="00F2378F"/>
    <w:rsid w:val="00F24636"/>
    <w:rsid w:val="00F34482"/>
    <w:rsid w:val="00F34EED"/>
    <w:rsid w:val="00F51D4E"/>
    <w:rsid w:val="00F543F0"/>
    <w:rsid w:val="00F57D59"/>
    <w:rsid w:val="00F72C18"/>
    <w:rsid w:val="00F8196E"/>
    <w:rsid w:val="00F8525D"/>
    <w:rsid w:val="00F85515"/>
    <w:rsid w:val="00F86E70"/>
    <w:rsid w:val="00F93BF3"/>
    <w:rsid w:val="00FA2652"/>
    <w:rsid w:val="00FB2940"/>
    <w:rsid w:val="00FC171E"/>
    <w:rsid w:val="00FD2F50"/>
    <w:rsid w:val="00FD336A"/>
    <w:rsid w:val="00FE7DA8"/>
    <w:rsid w:val="00FF1B60"/>
    <w:rsid w:val="00FF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4"/>
  <w:shapeDefaults>
    <o:shapedefaults v:ext="edit" spidmax="30721"/>
    <o:shapelayout v:ext="edit">
      <o:idmap v:ext="edit" data="1"/>
    </o:shapelayout>
  </w:shapeDefaults>
  <w:decimalSymbol w:val="."/>
  <w:listSeparator w:val=","/>
  <w14:docId w14:val="698005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E5C"/>
    <w:pPr>
      <w:widowControl w:val="0"/>
    </w:pPr>
    <w:rPr>
      <w:sz w:val="24"/>
    </w:rPr>
  </w:style>
  <w:style w:type="paragraph" w:styleId="Heading1">
    <w:name w:val="heading 1"/>
    <w:basedOn w:val="Normal"/>
    <w:next w:val="Normal"/>
    <w:qFormat/>
    <w:pPr>
      <w:keepNext/>
      <w:widowControl/>
      <w:outlineLvl w:val="0"/>
    </w:pPr>
    <w:rPr>
      <w:b/>
      <w:bCs/>
      <w:sz w:val="18"/>
      <w:szCs w:val="24"/>
      <w:lang w:bidi="he-IL"/>
    </w:rPr>
  </w:style>
  <w:style w:type="paragraph" w:styleId="Heading2">
    <w:name w:val="heading 2"/>
    <w:basedOn w:val="Normal"/>
    <w:next w:val="Normal"/>
    <w:link w:val="Heading2Char"/>
    <w:semiHidden/>
    <w:unhideWhenUsed/>
    <w:qFormat/>
    <w:rsid w:val="003D7F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E301D6"/>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semiHidden/>
    <w:unhideWhenUsed/>
    <w:qFormat/>
    <w:rsid w:val="003D7FB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H-BdSingleSp5">
    <w:name w:val="AH-Bd Single Sp .5"/>
    <w:aliases w:val="s2"/>
    <w:basedOn w:val="Normal"/>
    <w:pPr>
      <w:widowControl/>
      <w:spacing w:after="240"/>
      <w:ind w:firstLine="720"/>
      <w:jc w:val="both"/>
    </w:pPr>
  </w:style>
  <w:style w:type="paragraph" w:styleId="BalloonText">
    <w:name w:val="Balloon Text"/>
    <w:basedOn w:val="Normal"/>
    <w:semiHidden/>
    <w:rsid w:val="000A7845"/>
    <w:rPr>
      <w:rFonts w:ascii="Tahoma" w:hAnsi="Tahoma" w:cs="Tahoma"/>
      <w:sz w:val="16"/>
      <w:szCs w:val="16"/>
    </w:rPr>
  </w:style>
  <w:style w:type="paragraph" w:customStyle="1" w:styleId="OmniPage10">
    <w:name w:val="OmniPage #10"/>
    <w:rsid w:val="007C3C79"/>
    <w:pPr>
      <w:widowControl w:val="0"/>
      <w:tabs>
        <w:tab w:val="left" w:pos="498"/>
        <w:tab w:val="right" w:pos="9637"/>
      </w:tabs>
      <w:suppressAutoHyphens/>
      <w:spacing w:line="228" w:lineRule="exact"/>
      <w:jc w:val="both"/>
    </w:pPr>
    <w:rPr>
      <w:spacing w:val="-3"/>
      <w:sz w:val="24"/>
    </w:rPr>
  </w:style>
  <w:style w:type="table" w:styleId="TableGrid">
    <w:name w:val="Table Grid"/>
    <w:basedOn w:val="TableNormal"/>
    <w:rsid w:val="00D273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7B3F1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07A47"/>
    <w:pPr>
      <w:widowControl/>
    </w:pPr>
    <w:rPr>
      <w:rFonts w:eastAsia="Calibri"/>
      <w:color w:val="000000"/>
      <w:sz w:val="22"/>
      <w:szCs w:val="22"/>
    </w:rPr>
  </w:style>
  <w:style w:type="character" w:customStyle="1" w:styleId="PlainTextChar">
    <w:name w:val="Plain Text Char"/>
    <w:basedOn w:val="DefaultParagraphFont"/>
    <w:link w:val="PlainText"/>
    <w:uiPriority w:val="99"/>
    <w:rsid w:val="00707A47"/>
    <w:rPr>
      <w:rFonts w:eastAsia="Calibri"/>
      <w:color w:val="000000"/>
      <w:sz w:val="22"/>
      <w:szCs w:val="22"/>
    </w:rPr>
  </w:style>
  <w:style w:type="character" w:customStyle="1" w:styleId="TimesNewRoman11">
    <w:name w:val="Times New Roman 11"/>
    <w:basedOn w:val="DefaultParagraphFont"/>
    <w:rsid w:val="00707A47"/>
    <w:rPr>
      <w:rFonts w:ascii="Times New Roman" w:hAnsi="Times New Roman" w:cs="Times New Roman" w:hint="default"/>
      <w:color w:val="000000"/>
    </w:rPr>
  </w:style>
  <w:style w:type="character" w:styleId="CommentReference">
    <w:name w:val="annotation reference"/>
    <w:basedOn w:val="DefaultParagraphFont"/>
    <w:rsid w:val="00707A47"/>
    <w:rPr>
      <w:sz w:val="16"/>
      <w:szCs w:val="16"/>
    </w:rPr>
  </w:style>
  <w:style w:type="paragraph" w:styleId="CommentText">
    <w:name w:val="annotation text"/>
    <w:basedOn w:val="Normal"/>
    <w:link w:val="CommentTextChar"/>
    <w:rsid w:val="00707A47"/>
    <w:rPr>
      <w:sz w:val="20"/>
    </w:rPr>
  </w:style>
  <w:style w:type="character" w:customStyle="1" w:styleId="CommentTextChar">
    <w:name w:val="Comment Text Char"/>
    <w:basedOn w:val="DefaultParagraphFont"/>
    <w:link w:val="CommentText"/>
    <w:rsid w:val="00707A47"/>
  </w:style>
  <w:style w:type="paragraph" w:styleId="CommentSubject">
    <w:name w:val="annotation subject"/>
    <w:basedOn w:val="CommentText"/>
    <w:next w:val="CommentText"/>
    <w:link w:val="CommentSubjectChar"/>
    <w:rsid w:val="00707A47"/>
    <w:rPr>
      <w:b/>
      <w:bCs/>
    </w:rPr>
  </w:style>
  <w:style w:type="character" w:customStyle="1" w:styleId="CommentSubjectChar">
    <w:name w:val="Comment Subject Char"/>
    <w:basedOn w:val="CommentTextChar"/>
    <w:link w:val="CommentSubject"/>
    <w:rsid w:val="00707A47"/>
    <w:rPr>
      <w:b/>
      <w:bCs/>
    </w:rPr>
  </w:style>
  <w:style w:type="paragraph" w:styleId="BodyText">
    <w:name w:val="Body Text"/>
    <w:basedOn w:val="Normal"/>
    <w:link w:val="BodyTextChar"/>
    <w:rsid w:val="0001014B"/>
    <w:pPr>
      <w:widowControl/>
      <w:spacing w:after="240"/>
      <w:jc w:val="both"/>
    </w:pPr>
    <w:rPr>
      <w:szCs w:val="24"/>
    </w:rPr>
  </w:style>
  <w:style w:type="character" w:customStyle="1" w:styleId="BodyTextChar">
    <w:name w:val="Body Text Char"/>
    <w:basedOn w:val="DefaultParagraphFont"/>
    <w:link w:val="BodyText"/>
    <w:rsid w:val="0001014B"/>
    <w:rPr>
      <w:sz w:val="24"/>
      <w:szCs w:val="24"/>
    </w:rPr>
  </w:style>
  <w:style w:type="paragraph" w:styleId="BodyText2">
    <w:name w:val="Body Text 2"/>
    <w:basedOn w:val="Normal"/>
    <w:link w:val="BodyText2Char"/>
    <w:rsid w:val="00F023D8"/>
    <w:pPr>
      <w:spacing w:after="120" w:line="480" w:lineRule="auto"/>
    </w:pPr>
  </w:style>
  <w:style w:type="character" w:customStyle="1" w:styleId="BodyText2Char">
    <w:name w:val="Body Text 2 Char"/>
    <w:basedOn w:val="DefaultParagraphFont"/>
    <w:link w:val="BodyText2"/>
    <w:rsid w:val="00F023D8"/>
    <w:rPr>
      <w:sz w:val="24"/>
    </w:rPr>
  </w:style>
  <w:style w:type="character" w:customStyle="1" w:styleId="Heading3Char">
    <w:name w:val="Heading 3 Char"/>
    <w:basedOn w:val="DefaultParagraphFont"/>
    <w:link w:val="Heading3"/>
    <w:semiHidden/>
    <w:rsid w:val="00E301D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semiHidden/>
    <w:rsid w:val="003D7FB4"/>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semiHidden/>
    <w:rsid w:val="003D7FB4"/>
    <w:rPr>
      <w:rFonts w:asciiTheme="majorHAnsi" w:eastAsiaTheme="majorEastAsia" w:hAnsiTheme="majorHAnsi" w:cstheme="majorBidi"/>
      <w:color w:val="2E74B5" w:themeColor="accent1" w:themeShade="BF"/>
      <w:sz w:val="24"/>
    </w:rPr>
  </w:style>
  <w:style w:type="paragraph" w:styleId="BodyText3">
    <w:name w:val="Body Text 3"/>
    <w:basedOn w:val="Normal"/>
    <w:link w:val="BodyText3Char"/>
    <w:rsid w:val="003D7FB4"/>
    <w:pPr>
      <w:spacing w:after="120"/>
    </w:pPr>
    <w:rPr>
      <w:sz w:val="16"/>
      <w:szCs w:val="16"/>
    </w:rPr>
  </w:style>
  <w:style w:type="character" w:customStyle="1" w:styleId="BodyText3Char">
    <w:name w:val="Body Text 3 Char"/>
    <w:basedOn w:val="DefaultParagraphFont"/>
    <w:link w:val="BodyText3"/>
    <w:rsid w:val="003D7FB4"/>
    <w:rPr>
      <w:sz w:val="16"/>
      <w:szCs w:val="16"/>
    </w:rPr>
  </w:style>
  <w:style w:type="paragraph" w:styleId="ListParagraph">
    <w:name w:val="List Paragraph"/>
    <w:basedOn w:val="Normal"/>
    <w:uiPriority w:val="34"/>
    <w:qFormat/>
    <w:rsid w:val="003D7FB4"/>
    <w:pPr>
      <w:ind w:left="720"/>
      <w:contextualSpacing/>
    </w:pPr>
  </w:style>
  <w:style w:type="paragraph" w:customStyle="1" w:styleId="Subject">
    <w:name w:val="Subject"/>
    <w:basedOn w:val="Normal"/>
    <w:rsid w:val="004E5D9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3812">
      <w:bodyDiv w:val="1"/>
      <w:marLeft w:val="0"/>
      <w:marRight w:val="0"/>
      <w:marTop w:val="0"/>
      <w:marBottom w:val="0"/>
      <w:divBdr>
        <w:top w:val="none" w:sz="0" w:space="0" w:color="auto"/>
        <w:left w:val="none" w:sz="0" w:space="0" w:color="auto"/>
        <w:bottom w:val="none" w:sz="0" w:space="0" w:color="auto"/>
        <w:right w:val="none" w:sz="0" w:space="0" w:color="auto"/>
      </w:divBdr>
    </w:div>
    <w:div w:id="171914141">
      <w:bodyDiv w:val="1"/>
      <w:marLeft w:val="0"/>
      <w:marRight w:val="0"/>
      <w:marTop w:val="0"/>
      <w:marBottom w:val="0"/>
      <w:divBdr>
        <w:top w:val="none" w:sz="0" w:space="0" w:color="auto"/>
        <w:left w:val="none" w:sz="0" w:space="0" w:color="auto"/>
        <w:bottom w:val="none" w:sz="0" w:space="0" w:color="auto"/>
        <w:right w:val="none" w:sz="0" w:space="0" w:color="auto"/>
      </w:divBdr>
    </w:div>
    <w:div w:id="210384805">
      <w:bodyDiv w:val="1"/>
      <w:marLeft w:val="0"/>
      <w:marRight w:val="0"/>
      <w:marTop w:val="0"/>
      <w:marBottom w:val="0"/>
      <w:divBdr>
        <w:top w:val="none" w:sz="0" w:space="0" w:color="auto"/>
        <w:left w:val="none" w:sz="0" w:space="0" w:color="auto"/>
        <w:bottom w:val="none" w:sz="0" w:space="0" w:color="auto"/>
        <w:right w:val="none" w:sz="0" w:space="0" w:color="auto"/>
      </w:divBdr>
    </w:div>
    <w:div w:id="359942302">
      <w:bodyDiv w:val="1"/>
      <w:marLeft w:val="0"/>
      <w:marRight w:val="0"/>
      <w:marTop w:val="0"/>
      <w:marBottom w:val="0"/>
      <w:divBdr>
        <w:top w:val="none" w:sz="0" w:space="0" w:color="auto"/>
        <w:left w:val="none" w:sz="0" w:space="0" w:color="auto"/>
        <w:bottom w:val="none" w:sz="0" w:space="0" w:color="auto"/>
        <w:right w:val="none" w:sz="0" w:space="0" w:color="auto"/>
      </w:divBdr>
    </w:div>
    <w:div w:id="894900081">
      <w:bodyDiv w:val="1"/>
      <w:marLeft w:val="0"/>
      <w:marRight w:val="0"/>
      <w:marTop w:val="0"/>
      <w:marBottom w:val="0"/>
      <w:divBdr>
        <w:top w:val="none" w:sz="0" w:space="0" w:color="auto"/>
        <w:left w:val="none" w:sz="0" w:space="0" w:color="auto"/>
        <w:bottom w:val="none" w:sz="0" w:space="0" w:color="auto"/>
        <w:right w:val="none" w:sz="0" w:space="0" w:color="auto"/>
      </w:divBdr>
    </w:div>
    <w:div w:id="1044141823">
      <w:bodyDiv w:val="1"/>
      <w:marLeft w:val="0"/>
      <w:marRight w:val="0"/>
      <w:marTop w:val="0"/>
      <w:marBottom w:val="0"/>
      <w:divBdr>
        <w:top w:val="none" w:sz="0" w:space="0" w:color="auto"/>
        <w:left w:val="none" w:sz="0" w:space="0" w:color="auto"/>
        <w:bottom w:val="none" w:sz="0" w:space="0" w:color="auto"/>
        <w:right w:val="none" w:sz="0" w:space="0" w:color="auto"/>
      </w:divBdr>
    </w:div>
    <w:div w:id="1443721942">
      <w:bodyDiv w:val="1"/>
      <w:marLeft w:val="0"/>
      <w:marRight w:val="0"/>
      <w:marTop w:val="0"/>
      <w:marBottom w:val="0"/>
      <w:divBdr>
        <w:top w:val="none" w:sz="0" w:space="0" w:color="auto"/>
        <w:left w:val="none" w:sz="0" w:space="0" w:color="auto"/>
        <w:bottom w:val="none" w:sz="0" w:space="0" w:color="auto"/>
        <w:right w:val="none" w:sz="0" w:space="0" w:color="auto"/>
      </w:divBdr>
    </w:div>
    <w:div w:id="1592816917">
      <w:bodyDiv w:val="1"/>
      <w:marLeft w:val="0"/>
      <w:marRight w:val="0"/>
      <w:marTop w:val="0"/>
      <w:marBottom w:val="0"/>
      <w:divBdr>
        <w:top w:val="none" w:sz="0" w:space="0" w:color="auto"/>
        <w:left w:val="none" w:sz="0" w:space="0" w:color="auto"/>
        <w:bottom w:val="none" w:sz="0" w:space="0" w:color="auto"/>
        <w:right w:val="none" w:sz="0" w:space="0" w:color="auto"/>
      </w:divBdr>
    </w:div>
    <w:div w:id="19693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6244</vt:lpstr>
    </vt:vector>
  </TitlesOfParts>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6244</dc:title>
  <dc:subject>Modifications to Multifamily Loan and Security Agreement (1031 Exchange)</dc:subject>
  <dc:creator/>
  <cp:keywords/>
  <cp:lastModifiedBy/>
  <cp:revision>1</cp:revision>
  <dcterms:created xsi:type="dcterms:W3CDTF">2022-12-05T17:48:00Z</dcterms:created>
  <dcterms:modified xsi:type="dcterms:W3CDTF">2022-12-05T17:48:00Z</dcterms:modified>
</cp:coreProperties>
</file>