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AD31" w14:textId="77777777" w:rsidR="00147133" w:rsidRPr="00C86E07" w:rsidRDefault="00147133" w:rsidP="00636BCB">
      <w:pPr>
        <w:widowControl/>
        <w:suppressAutoHyphens/>
        <w:spacing w:after="240"/>
        <w:jc w:val="center"/>
        <w:rPr>
          <w:b/>
        </w:rPr>
      </w:pPr>
      <w:r w:rsidRPr="00C86E07">
        <w:rPr>
          <w:b/>
        </w:rPr>
        <w:t>EXHIBIT [__]</w:t>
      </w:r>
    </w:p>
    <w:p w14:paraId="235EF92F" w14:textId="77777777" w:rsidR="00147133" w:rsidRPr="00C86E07" w:rsidRDefault="00147133" w:rsidP="00636BCB">
      <w:pPr>
        <w:widowControl/>
        <w:suppressAutoHyphens/>
        <w:jc w:val="center"/>
        <w:rPr>
          <w:b/>
        </w:rPr>
      </w:pPr>
      <w:r w:rsidRPr="00C86E07">
        <w:rPr>
          <w:b/>
        </w:rPr>
        <w:t xml:space="preserve">MODIFICATIONS TO </w:t>
      </w:r>
      <w:r w:rsidRPr="00C86E07">
        <w:rPr>
          <w:b/>
          <w:caps/>
        </w:rPr>
        <w:t>Multifamily</w:t>
      </w:r>
      <w:r w:rsidRPr="00C86E07">
        <w:rPr>
          <w:b/>
        </w:rPr>
        <w:t xml:space="preserve"> LOAN AND SECURITY AGREEMENT</w:t>
      </w:r>
    </w:p>
    <w:p w14:paraId="0D8A4563" w14:textId="4081D2CA" w:rsidR="00147133" w:rsidRPr="00C86E07" w:rsidRDefault="00147133" w:rsidP="00636BCB">
      <w:pPr>
        <w:widowControl/>
        <w:suppressAutoHyphens/>
        <w:spacing w:after="360"/>
        <w:jc w:val="center"/>
      </w:pPr>
      <w:r w:rsidRPr="00C86E07">
        <w:rPr>
          <w:b/>
        </w:rPr>
        <w:t>(Co</w:t>
      </w:r>
      <w:r>
        <w:rPr>
          <w:b/>
        </w:rPr>
        <w:t>-Tenants</w:t>
      </w:r>
      <w:r w:rsidR="007226BF">
        <w:rPr>
          <w:b/>
        </w:rPr>
        <w:t xml:space="preserve"> – Single Cap Purchaser</w:t>
      </w:r>
      <w:r w:rsidRPr="00C86E07">
        <w:rPr>
          <w:b/>
        </w:rPr>
        <w:t>)</w:t>
      </w:r>
    </w:p>
    <w:p w14:paraId="0C949B1E" w14:textId="77777777" w:rsidR="00147133" w:rsidRPr="00C86E07" w:rsidRDefault="00147133" w:rsidP="00636BCB">
      <w:pPr>
        <w:widowControl/>
        <w:suppressAutoHyphens/>
        <w:spacing w:after="240"/>
        <w:ind w:firstLine="720"/>
        <w:jc w:val="both"/>
      </w:pPr>
      <w:r w:rsidRPr="00C86E07">
        <w:t>The foregoing Loan Agreement is hereby modified as follows:</w:t>
      </w:r>
    </w:p>
    <w:p w14:paraId="3C0F918F" w14:textId="77777777" w:rsidR="00147133" w:rsidRDefault="00147133" w:rsidP="00636BCB">
      <w:pPr>
        <w:widowControl/>
        <w:numPr>
          <w:ilvl w:val="0"/>
          <w:numId w:val="1"/>
        </w:numPr>
        <w:suppressAutoHyphens/>
        <w:kinsoku/>
        <w:spacing w:after="240"/>
        <w:jc w:val="both"/>
      </w:pPr>
      <w:r w:rsidRPr="00C86E07">
        <w:t>Capitalized terms used and not specifically defined herein have the meanings given to such terms in the Loan Agreement.</w:t>
      </w:r>
    </w:p>
    <w:p w14:paraId="3C4FF59D" w14:textId="77777777" w:rsidR="00147133" w:rsidRDefault="00147133" w:rsidP="00636BCB">
      <w:pPr>
        <w:widowControl/>
        <w:numPr>
          <w:ilvl w:val="0"/>
          <w:numId w:val="1"/>
        </w:numPr>
        <w:tabs>
          <w:tab w:val="left" w:pos="-720"/>
        </w:tabs>
        <w:suppressAutoHyphens/>
        <w:kinsoku/>
        <w:spacing w:after="240"/>
        <w:jc w:val="both"/>
      </w:pPr>
      <w:r w:rsidRPr="00BF52DE">
        <w:t>The Definitions Schedule is hereby amended by adding the following new definitions in the appropriate alphabetical order:</w:t>
      </w:r>
    </w:p>
    <w:p w14:paraId="628E59A1" w14:textId="77777777" w:rsidR="00147133" w:rsidRPr="00980539" w:rsidRDefault="00147133" w:rsidP="00636BCB">
      <w:pPr>
        <w:widowControl/>
        <w:tabs>
          <w:tab w:val="left" w:pos="-720"/>
        </w:tabs>
        <w:suppressAutoHyphens/>
        <w:kinsoku/>
        <w:spacing w:after="240"/>
        <w:ind w:left="720" w:right="720"/>
        <w:jc w:val="both"/>
      </w:pPr>
      <w:r>
        <w:t>“</w:t>
      </w:r>
      <w:r>
        <w:rPr>
          <w:b/>
        </w:rPr>
        <w:t>Co-Tenant</w:t>
      </w:r>
      <w:r>
        <w:t>” means, individually and collectively, all persons, trusts or entities comprising Borrower.</w:t>
      </w:r>
    </w:p>
    <w:p w14:paraId="0A116E47" w14:textId="77777777" w:rsidR="00147133" w:rsidRDefault="00147133" w:rsidP="00636BCB">
      <w:pPr>
        <w:widowControl/>
        <w:tabs>
          <w:tab w:val="left" w:pos="-720"/>
        </w:tabs>
        <w:suppressAutoHyphens/>
        <w:kinsoku/>
        <w:spacing w:after="240"/>
        <w:ind w:left="720" w:right="720"/>
        <w:jc w:val="both"/>
      </w:pPr>
      <w:r>
        <w:t>“</w:t>
      </w:r>
      <w:r>
        <w:rPr>
          <w:b/>
        </w:rPr>
        <w:t>Co-Tenant Representative</w:t>
      </w:r>
      <w:r>
        <w:t>” means the Co-Tenant Representative identified on the Summary of Loan Terms.</w:t>
      </w:r>
    </w:p>
    <w:p w14:paraId="59C045C6" w14:textId="77777777" w:rsidR="00147133" w:rsidRDefault="00147133" w:rsidP="00636BCB">
      <w:pPr>
        <w:widowControl/>
        <w:tabs>
          <w:tab w:val="left" w:pos="-720"/>
        </w:tabs>
        <w:suppressAutoHyphens/>
        <w:kinsoku/>
        <w:spacing w:after="240"/>
        <w:ind w:left="720" w:right="720"/>
        <w:jc w:val="both"/>
      </w:pPr>
      <w:r>
        <w:t>“</w:t>
      </w:r>
      <w:r w:rsidRPr="004532E0">
        <w:rPr>
          <w:b/>
        </w:rPr>
        <w:t>Initial Bankruptcy Case(s)</w:t>
      </w:r>
      <w:r>
        <w:t>” means one or more bankruptcy cases resulting from one or more Co-Tenants filing for re</w:t>
      </w:r>
      <w:r w:rsidR="00B05206">
        <w:t>lief under the Insolvency Laws.</w:t>
      </w:r>
    </w:p>
    <w:p w14:paraId="4041AEAC" w14:textId="77777777" w:rsidR="00147133" w:rsidRPr="00980539" w:rsidRDefault="00147133" w:rsidP="00636BCB">
      <w:pPr>
        <w:widowControl/>
        <w:tabs>
          <w:tab w:val="left" w:pos="-720"/>
        </w:tabs>
        <w:suppressAutoHyphens/>
        <w:kinsoku/>
        <w:spacing w:after="240"/>
        <w:ind w:left="720" w:right="720"/>
        <w:jc w:val="both"/>
      </w:pPr>
      <w:r>
        <w:t>“</w:t>
      </w:r>
      <w:r w:rsidRPr="004532E0">
        <w:rPr>
          <w:b/>
        </w:rPr>
        <w:t>Initial Debtor</w:t>
      </w:r>
      <w:r>
        <w:t>” means the debtor of an Initial Bankruptcy Case.</w:t>
      </w:r>
    </w:p>
    <w:p w14:paraId="32D6CBFC" w14:textId="4BDB7717" w:rsidR="00147133" w:rsidRPr="00C66B04" w:rsidRDefault="00147133" w:rsidP="00636BCB">
      <w:pPr>
        <w:widowControl/>
        <w:spacing w:after="240"/>
        <w:ind w:left="720" w:right="720"/>
        <w:jc w:val="both"/>
      </w:pPr>
      <w:r>
        <w:t>“</w:t>
      </w:r>
      <w:r>
        <w:rPr>
          <w:b/>
        </w:rPr>
        <w:t>Subsequent Bankruptcy Case</w:t>
      </w:r>
      <w:r w:rsidRPr="004532E0">
        <w:t>”</w:t>
      </w:r>
      <w:r>
        <w:t xml:space="preserve"> means any bankruptcy case filed by one or more </w:t>
      </w:r>
      <w:r w:rsidRPr="00C66B04">
        <w:t>Co-Tenants after an Initial Bankruptcy Case.</w:t>
      </w:r>
    </w:p>
    <w:p w14:paraId="755C51AB" w14:textId="77777777" w:rsidR="00147133" w:rsidRDefault="00147133" w:rsidP="00636BCB">
      <w:pPr>
        <w:widowControl/>
        <w:tabs>
          <w:tab w:val="left" w:pos="-720"/>
        </w:tabs>
        <w:suppressAutoHyphens/>
        <w:kinsoku/>
        <w:spacing w:after="240"/>
        <w:ind w:left="720" w:right="720"/>
        <w:jc w:val="both"/>
      </w:pPr>
      <w:r>
        <w:t>“</w:t>
      </w:r>
      <w:r>
        <w:rPr>
          <w:b/>
        </w:rPr>
        <w:t>Tenancy-in-Common Agreement</w:t>
      </w:r>
      <w:r>
        <w:t>” means that certain Tenancy-in-Common Agreement identified on the Summary of Loan Terms.</w:t>
      </w:r>
    </w:p>
    <w:p w14:paraId="71B60621" w14:textId="77777777" w:rsidR="00147133" w:rsidRDefault="00147133" w:rsidP="00636BCB">
      <w:pPr>
        <w:widowControl/>
        <w:numPr>
          <w:ilvl w:val="0"/>
          <w:numId w:val="1"/>
        </w:numPr>
        <w:suppressAutoHyphens/>
        <w:kinsoku/>
        <w:spacing w:after="240"/>
        <w:jc w:val="both"/>
      </w:pPr>
      <w:r>
        <w:t xml:space="preserve">Section 3.02(a) (Personal Liability of Borrower – </w:t>
      </w:r>
      <w:r w:rsidRPr="00EB320F">
        <w:t>Personal Liability Based on Lender’s Loss</w:t>
      </w:r>
      <w:r>
        <w:t>) of the Loan Agreement is hereby amended by adding the following provision</w:t>
      </w:r>
      <w:r w:rsidR="00EF05A7">
        <w:t>s</w:t>
      </w:r>
      <w:r>
        <w:t xml:space="preserve"> to the end thereof:</w:t>
      </w:r>
    </w:p>
    <w:p w14:paraId="6F160750" w14:textId="77777777" w:rsidR="00147133" w:rsidRDefault="00147133" w:rsidP="00636BCB">
      <w:pPr>
        <w:widowControl/>
        <w:suppressAutoHyphens/>
        <w:kinsoku/>
        <w:spacing w:after="240"/>
        <w:ind w:left="1440" w:right="720" w:firstLine="720"/>
        <w:jc w:val="both"/>
      </w:pPr>
      <w:r>
        <w:t>[(__)]</w:t>
      </w:r>
      <w:r>
        <w:tab/>
        <w:t xml:space="preserve">the modification, termination or waiver of any provisions under the Tenancy-in-Common Agreement, or the entering into a new agreement related to the </w:t>
      </w:r>
      <w:r w:rsidR="008F24DC">
        <w:t xml:space="preserve">management of the </w:t>
      </w:r>
      <w:r>
        <w:t xml:space="preserve">Mortgaged Property, without the </w:t>
      </w:r>
      <w:r w:rsidR="00EF05A7">
        <w:t>prior written consent of Lender</w:t>
      </w:r>
      <w:r w:rsidR="005E6E08">
        <w:t>; or</w:t>
      </w:r>
    </w:p>
    <w:p w14:paraId="3B23747C" w14:textId="77777777" w:rsidR="00EF05A7" w:rsidRPr="004928A2" w:rsidRDefault="00EF05A7" w:rsidP="00636BCB">
      <w:pPr>
        <w:widowControl/>
        <w:suppressAutoHyphens/>
        <w:kinsoku/>
        <w:spacing w:after="240"/>
        <w:ind w:left="1440" w:right="720" w:firstLine="720"/>
        <w:jc w:val="both"/>
        <w:rPr>
          <w:b/>
        </w:rPr>
      </w:pPr>
      <w:r>
        <w:t>[(__)]</w:t>
      </w:r>
      <w:r>
        <w:tab/>
        <w:t>the filing of any action, complaint, petition or other claim to divide the Mortgaged Property, cause the appointment of a receiver for the Mortgaged Property or compel the sale of the Mortgaged Property.</w:t>
      </w:r>
    </w:p>
    <w:p w14:paraId="5A388C97" w14:textId="77777777" w:rsidR="00147133" w:rsidRDefault="00147133" w:rsidP="00B05206">
      <w:pPr>
        <w:keepNext/>
        <w:widowControl/>
        <w:numPr>
          <w:ilvl w:val="0"/>
          <w:numId w:val="1"/>
        </w:numPr>
        <w:suppressAutoHyphens/>
        <w:kinsoku/>
        <w:spacing w:after="240"/>
        <w:jc w:val="both"/>
      </w:pPr>
      <w:r w:rsidRPr="00CF2021">
        <w:lastRenderedPageBreak/>
        <w:t>Section </w:t>
      </w:r>
      <w:r>
        <w:t>1</w:t>
      </w:r>
      <w:r w:rsidRPr="00CF2021">
        <w:t>4.01</w:t>
      </w:r>
      <w:r>
        <w:t>(a)</w:t>
      </w:r>
      <w:r w:rsidRPr="00CF2021">
        <w:t xml:space="preserve"> (</w:t>
      </w:r>
      <w:r>
        <w:t>Events of Default – Automatic Events of Default</w:t>
      </w:r>
      <w:r w:rsidRPr="00CF2021">
        <w:t>) of the Loan Agreement is hereby amended by adding the following provision</w:t>
      </w:r>
      <w:r>
        <w:t>s</w:t>
      </w:r>
      <w:r w:rsidRPr="00CF2021">
        <w:t xml:space="preserve"> to the end thereof:</w:t>
      </w:r>
    </w:p>
    <w:p w14:paraId="46766B00" w14:textId="77777777" w:rsidR="00147133" w:rsidRDefault="00147133" w:rsidP="00636BCB">
      <w:pPr>
        <w:widowControl/>
        <w:spacing w:after="240"/>
        <w:ind w:left="1440" w:right="720" w:firstLine="720"/>
        <w:jc w:val="both"/>
      </w:pPr>
      <w:r>
        <w:t>[(__)]</w:t>
      </w:r>
      <w:r>
        <w:tab/>
      </w:r>
      <w:bookmarkStart w:id="0" w:name="OLE_LINK3"/>
      <w:bookmarkStart w:id="1" w:name="OLE_LINK4"/>
      <w:r>
        <w:t>the filing of any action, complaint, petition or other claim to divide the Mortgaged Property, cause the appointment of a receiver for the Mortgaged Property or compel the sale of the Mortgaged Property</w:t>
      </w:r>
      <w:r w:rsidR="008F24DC">
        <w:t>,</w:t>
      </w:r>
      <w:r>
        <w:t xml:space="preserve"> </w:t>
      </w:r>
      <w:bookmarkEnd w:id="0"/>
      <w:bookmarkEnd w:id="1"/>
      <w:r>
        <w:t>without Lender’s prior written consent</w:t>
      </w:r>
      <w:r w:rsidR="00030E92">
        <w:t>; and</w:t>
      </w:r>
    </w:p>
    <w:p w14:paraId="47F3B94A" w14:textId="77777777" w:rsidR="00030E92" w:rsidRPr="004604DE" w:rsidRDefault="00030E92" w:rsidP="00636BCB">
      <w:pPr>
        <w:widowControl/>
        <w:spacing w:after="240"/>
        <w:ind w:left="1440" w:right="720" w:firstLine="720"/>
        <w:jc w:val="both"/>
      </w:pPr>
      <w:r>
        <w:t>[(__)]</w:t>
      </w:r>
      <w:r>
        <w:tab/>
        <w:t>the modification, termination or waiver of any provisions under the Tenancy-in-Common Agreement, or the entering into a new agreement related to the management of the Mortgaged Property, without the prior written consent of Lender.</w:t>
      </w:r>
    </w:p>
    <w:p w14:paraId="6C182100" w14:textId="77777777" w:rsidR="00147133" w:rsidRPr="00921905" w:rsidRDefault="00147133" w:rsidP="00636BCB">
      <w:pPr>
        <w:pStyle w:val="BodyTextIndent2"/>
        <w:numPr>
          <w:ilvl w:val="0"/>
          <w:numId w:val="1"/>
        </w:numPr>
        <w:spacing w:after="240"/>
        <w:rPr>
          <w:rFonts w:ascii="Times New Roman" w:hAnsi="Times New Roman"/>
          <w:color w:val="000000"/>
        </w:rPr>
      </w:pPr>
      <w:r w:rsidRPr="00921905">
        <w:rPr>
          <w:rFonts w:ascii="Times New Roman" w:hAnsi="Times New Roman"/>
          <w:color w:val="000000"/>
        </w:rPr>
        <w:t>Se</w:t>
      </w:r>
      <w:r w:rsidR="008F24DC" w:rsidRPr="00921905">
        <w:rPr>
          <w:rFonts w:ascii="Times New Roman" w:hAnsi="Times New Roman"/>
          <w:color w:val="000000"/>
        </w:rPr>
        <w:t>ction 15.02(a) (Process of Serv</w:t>
      </w:r>
      <w:r w:rsidRPr="00921905">
        <w:rPr>
          <w:rFonts w:ascii="Times New Roman" w:hAnsi="Times New Roman"/>
          <w:color w:val="000000"/>
        </w:rPr>
        <w:t>ing Notice) of the Loan Agreement is hereby amended by adding the following provision to the end thereof:</w:t>
      </w:r>
    </w:p>
    <w:p w14:paraId="74B6E406" w14:textId="77777777" w:rsidR="00147133" w:rsidRPr="004604DE" w:rsidRDefault="00147133" w:rsidP="00636BCB">
      <w:pPr>
        <w:widowControl/>
        <w:spacing w:after="240"/>
        <w:ind w:left="1440" w:right="720" w:firstLine="720"/>
        <w:jc w:val="both"/>
      </w:pPr>
      <w:r>
        <w:t>[(__)]</w:t>
      </w:r>
      <w:r>
        <w:tab/>
        <w:t>a</w:t>
      </w:r>
      <w:r w:rsidRPr="004604DE">
        <w:t>ny notice to be provided to Borrower under this Loan Agreement shall be provided in accordance with and in the manner set forth in this Section</w:t>
      </w:r>
      <w:r>
        <w:t> </w:t>
      </w:r>
      <w:r w:rsidRPr="004604DE">
        <w:t xml:space="preserve">15.02 and directed to </w:t>
      </w:r>
      <w:r>
        <w:t>Co-Tenant Representative</w:t>
      </w:r>
      <w:r w:rsidRPr="00B37CB3">
        <w:rPr>
          <w:bCs/>
        </w:rPr>
        <w:t>.</w:t>
      </w:r>
      <w:r w:rsidRPr="005612A7">
        <w:rPr>
          <w:bCs/>
        </w:rPr>
        <w:t xml:space="preserve">  </w:t>
      </w:r>
      <w:r w:rsidRPr="004604DE">
        <w:t>Borrower agrees that any notice so sent shall constitute notice to Borrower.</w:t>
      </w:r>
    </w:p>
    <w:p w14:paraId="2756B118" w14:textId="77777777" w:rsidR="00147133" w:rsidRPr="00C86E07" w:rsidRDefault="00147133" w:rsidP="00636BCB">
      <w:pPr>
        <w:widowControl/>
        <w:numPr>
          <w:ilvl w:val="0"/>
          <w:numId w:val="1"/>
        </w:numPr>
        <w:suppressAutoHyphens/>
        <w:kinsoku/>
        <w:spacing w:after="240"/>
        <w:jc w:val="both"/>
      </w:pPr>
      <w:r w:rsidRPr="00C86E07">
        <w:t xml:space="preserve">The following </w:t>
      </w:r>
      <w:r>
        <w:t xml:space="preserve">article </w:t>
      </w:r>
      <w:r w:rsidRPr="00C86E07">
        <w:t xml:space="preserve">is hereby added to the Loan Agreement as </w:t>
      </w:r>
      <w:r w:rsidRPr="00A060E7">
        <w:t>Article [___] (</w:t>
      </w:r>
      <w:r>
        <w:t>Co-Tenants</w:t>
      </w:r>
      <w:r w:rsidRPr="00A060E7">
        <w:t>)</w:t>
      </w:r>
      <w:r w:rsidRPr="00C86E07">
        <w:t>:</w:t>
      </w:r>
    </w:p>
    <w:p w14:paraId="43D4A363" w14:textId="77777777" w:rsidR="00147133" w:rsidRPr="00F92611" w:rsidRDefault="00147133" w:rsidP="00636BCB">
      <w:pPr>
        <w:keepNext/>
        <w:widowControl/>
        <w:suppressAutoHyphens/>
        <w:spacing w:after="240"/>
        <w:ind w:left="720" w:right="720"/>
        <w:jc w:val="center"/>
        <w:outlineLvl w:val="0"/>
        <w:rPr>
          <w:b/>
          <w:snapToGrid w:val="0"/>
          <w:sz w:val="28"/>
          <w:szCs w:val="28"/>
        </w:rPr>
      </w:pPr>
      <w:bookmarkStart w:id="2" w:name="_Toc263870054"/>
      <w:bookmarkStart w:id="3" w:name="_Toc263870613"/>
      <w:bookmarkStart w:id="4" w:name="_Toc241299261"/>
      <w:bookmarkStart w:id="5" w:name="_Toc241480314"/>
      <w:bookmarkStart w:id="6" w:name="_Toc264474021"/>
      <w:bookmarkStart w:id="7" w:name="_Toc266373268"/>
      <w:bookmarkStart w:id="8" w:name="_Toc271706538"/>
      <w:r w:rsidRPr="00F92611">
        <w:rPr>
          <w:b/>
          <w:snapToGrid w:val="0"/>
          <w:sz w:val="28"/>
          <w:szCs w:val="28"/>
        </w:rPr>
        <w:t>ARTICLE [___]</w:t>
      </w:r>
      <w:bookmarkStart w:id="9" w:name="_Toc263870055"/>
      <w:bookmarkStart w:id="10" w:name="_Toc263870614"/>
      <w:bookmarkEnd w:id="2"/>
      <w:bookmarkEnd w:id="3"/>
      <w:r w:rsidRPr="00F92611">
        <w:rPr>
          <w:b/>
          <w:snapToGrid w:val="0"/>
          <w:sz w:val="28"/>
          <w:szCs w:val="28"/>
        </w:rPr>
        <w:t xml:space="preserve"> – </w:t>
      </w:r>
      <w:bookmarkEnd w:id="4"/>
      <w:bookmarkEnd w:id="5"/>
      <w:bookmarkEnd w:id="6"/>
      <w:bookmarkEnd w:id="7"/>
      <w:bookmarkEnd w:id="8"/>
      <w:bookmarkEnd w:id="9"/>
      <w:bookmarkEnd w:id="10"/>
      <w:r w:rsidRPr="00F92611">
        <w:rPr>
          <w:b/>
          <w:snapToGrid w:val="0"/>
          <w:sz w:val="28"/>
          <w:szCs w:val="28"/>
        </w:rPr>
        <w:t>CO-TENANTS</w:t>
      </w:r>
    </w:p>
    <w:p w14:paraId="4F8CD33F" w14:textId="77777777" w:rsidR="00147133" w:rsidRPr="00C86E07" w:rsidRDefault="00147133" w:rsidP="00636BCB">
      <w:pPr>
        <w:pStyle w:val="Heading2"/>
        <w:ind w:firstLine="720"/>
      </w:pPr>
      <w:bookmarkStart w:id="11" w:name="_Ref180893870"/>
      <w:bookmarkStart w:id="12" w:name="_Toc241299262"/>
      <w:bookmarkStart w:id="13" w:name="_Toc241480315"/>
      <w:bookmarkStart w:id="14" w:name="_Toc263870056"/>
      <w:bookmarkStart w:id="15" w:name="_Toc263870615"/>
      <w:bookmarkStart w:id="16" w:name="_Toc264474022"/>
      <w:bookmarkStart w:id="17" w:name="_Toc266373269"/>
      <w:bookmarkStart w:id="18" w:name="_Toc270286563"/>
      <w:bookmarkStart w:id="19" w:name="_Toc271706539"/>
      <w:r>
        <w:t>Representations and Warranties</w:t>
      </w:r>
      <w:r w:rsidRPr="00C86E07">
        <w:t>.</w:t>
      </w:r>
      <w:bookmarkEnd w:id="11"/>
      <w:bookmarkEnd w:id="12"/>
      <w:bookmarkEnd w:id="13"/>
      <w:bookmarkEnd w:id="14"/>
      <w:bookmarkEnd w:id="15"/>
      <w:bookmarkEnd w:id="16"/>
      <w:bookmarkEnd w:id="17"/>
      <w:bookmarkEnd w:id="18"/>
      <w:bookmarkEnd w:id="19"/>
    </w:p>
    <w:p w14:paraId="68910042" w14:textId="77777777" w:rsidR="00147133" w:rsidRPr="004604DE" w:rsidRDefault="00147133" w:rsidP="00636BCB">
      <w:pPr>
        <w:widowControl/>
        <w:spacing w:after="240"/>
        <w:ind w:left="720" w:right="720" w:firstLine="720"/>
        <w:jc w:val="both"/>
      </w:pPr>
      <w:r w:rsidRPr="00F56FCB">
        <w:t xml:space="preserve">The representations and warranties made by Borrower to Lender in this </w:t>
      </w:r>
      <w:r>
        <w:t xml:space="preserve">Section [___].01 </w:t>
      </w:r>
      <w:r w:rsidRPr="00F56FCB">
        <w:t>are made as of the Effective Date, and are true and correct.</w:t>
      </w:r>
    </w:p>
    <w:p w14:paraId="1DC3E528" w14:textId="77777777" w:rsidR="00147133" w:rsidRPr="004604DE" w:rsidRDefault="00147133" w:rsidP="00636BCB">
      <w:pPr>
        <w:widowControl/>
        <w:numPr>
          <w:ilvl w:val="0"/>
          <w:numId w:val="2"/>
        </w:numPr>
        <w:tabs>
          <w:tab w:val="clear" w:pos="720"/>
        </w:tabs>
        <w:spacing w:after="240"/>
        <w:ind w:left="720" w:right="720" w:firstLine="720"/>
        <w:jc w:val="both"/>
      </w:pPr>
      <w:bookmarkStart w:id="20" w:name="OLE_LINK1"/>
      <w:bookmarkStart w:id="21" w:name="OLE_LINK2"/>
      <w:r>
        <w:t>N</w:t>
      </w:r>
      <w:r w:rsidRPr="004604DE">
        <w:t>o partition action has been filed, or is currently being threatened,</w:t>
      </w:r>
      <w:r>
        <w:t xml:space="preserve"> </w:t>
      </w:r>
      <w:r w:rsidRPr="004604DE">
        <w:t>with respect to the Mortgaged Property</w:t>
      </w:r>
      <w:r>
        <w:t>.</w:t>
      </w:r>
    </w:p>
    <w:bookmarkEnd w:id="20"/>
    <w:bookmarkEnd w:id="21"/>
    <w:p w14:paraId="7F3AE8B3" w14:textId="77777777" w:rsidR="00147133" w:rsidRDefault="00147133" w:rsidP="00636BCB">
      <w:pPr>
        <w:widowControl/>
        <w:numPr>
          <w:ilvl w:val="0"/>
          <w:numId w:val="2"/>
        </w:numPr>
        <w:tabs>
          <w:tab w:val="clear" w:pos="720"/>
        </w:tabs>
        <w:spacing w:after="240"/>
        <w:ind w:left="720" w:right="720" w:firstLine="720"/>
        <w:jc w:val="both"/>
      </w:pPr>
      <w:r>
        <w:t>E</w:t>
      </w:r>
      <w:r w:rsidRPr="004604DE">
        <w:t>ach Co-Tenant has execut</w:t>
      </w:r>
      <w:r>
        <w:t>ed and delivered the Tenancy-in-</w:t>
      </w:r>
      <w:r w:rsidRPr="004604DE">
        <w:t>Common Agreement a</w:t>
      </w:r>
      <w:r>
        <w:t>nd is currently a party thereto.</w:t>
      </w:r>
    </w:p>
    <w:p w14:paraId="11FE0B93" w14:textId="77777777" w:rsidR="00147133" w:rsidRPr="00BF7E99" w:rsidRDefault="00147133" w:rsidP="00636BCB">
      <w:pPr>
        <w:widowControl/>
        <w:numPr>
          <w:ilvl w:val="0"/>
          <w:numId w:val="2"/>
        </w:numPr>
        <w:tabs>
          <w:tab w:val="clear" w:pos="720"/>
          <w:tab w:val="num" w:pos="1440"/>
        </w:tabs>
        <w:spacing w:after="240"/>
        <w:ind w:left="720" w:right="720" w:firstLine="720"/>
        <w:jc w:val="both"/>
      </w:pPr>
      <w:r>
        <w:t>T</w:t>
      </w:r>
      <w:r w:rsidRPr="004604DE">
        <w:t>he Tenancy-in-Common Agreement is in full force and effect</w:t>
      </w:r>
      <w:r>
        <w:t xml:space="preserve"> </w:t>
      </w:r>
      <w:r>
        <w:rPr>
          <w:color w:val="000000"/>
        </w:rPr>
        <w:t xml:space="preserve">and there are </w:t>
      </w:r>
      <w:r w:rsidRPr="006B6BD3">
        <w:rPr>
          <w:color w:val="000000"/>
        </w:rPr>
        <w:t>no defaults thereunder, nor has any event occurred that with the passage of time, the giving of notice or both would result in such a default.</w:t>
      </w:r>
    </w:p>
    <w:p w14:paraId="5A0EB348" w14:textId="77777777" w:rsidR="00147133" w:rsidRDefault="00147133" w:rsidP="00636BCB">
      <w:pPr>
        <w:pStyle w:val="Heading2"/>
        <w:ind w:firstLine="720"/>
      </w:pPr>
      <w:r>
        <w:lastRenderedPageBreak/>
        <w:t>Covenants.</w:t>
      </w:r>
    </w:p>
    <w:p w14:paraId="0100C9CC" w14:textId="77777777" w:rsidR="00147133" w:rsidRDefault="00147133" w:rsidP="00B05206">
      <w:pPr>
        <w:keepNext/>
        <w:widowControl/>
        <w:numPr>
          <w:ilvl w:val="0"/>
          <w:numId w:val="18"/>
        </w:numPr>
        <w:spacing w:after="240"/>
        <w:ind w:left="720" w:right="720" w:firstLine="720"/>
        <w:jc w:val="both"/>
        <w:rPr>
          <w:b/>
        </w:rPr>
      </w:pPr>
      <w:r>
        <w:rPr>
          <w:b/>
        </w:rPr>
        <w:t>N</w:t>
      </w:r>
      <w:r>
        <w:rPr>
          <w:b/>
          <w:bCs/>
        </w:rPr>
        <w:t>o Partition, Sale or Ouster.</w:t>
      </w:r>
    </w:p>
    <w:p w14:paraId="164A3529" w14:textId="77777777" w:rsidR="00147133" w:rsidRDefault="00147133" w:rsidP="00636BCB">
      <w:pPr>
        <w:widowControl/>
        <w:spacing w:after="240"/>
        <w:ind w:left="720" w:right="720" w:firstLine="720"/>
        <w:jc w:val="both"/>
      </w:pPr>
      <w:r w:rsidRPr="004604DE">
        <w:t>Neither Borrower nor any Co-Tenant shall file</w:t>
      </w:r>
      <w:r>
        <w:t xml:space="preserve"> any action, complaint, </w:t>
      </w:r>
      <w:r w:rsidRPr="004604DE">
        <w:t xml:space="preserve">petition </w:t>
      </w:r>
      <w:r>
        <w:t xml:space="preserve">or claim </w:t>
      </w:r>
      <w:r w:rsidRPr="004604DE">
        <w:t>to seek partition or to otherwis</w:t>
      </w:r>
      <w:r>
        <w:t xml:space="preserve">e divide the Mortgaged Property, to compel any sale of the Mortgaged Property or to seek ouster of any Co-Tenant.  Borrower and </w:t>
      </w:r>
      <w:r w:rsidR="008F24DC">
        <w:t xml:space="preserve">each </w:t>
      </w:r>
      <w:r>
        <w:t>Co-Tenant expressly waives any and all rights to partition the Mortgaged Property or seek ouster of any Co-Tenant</w:t>
      </w:r>
      <w:r w:rsidRPr="008F24DC">
        <w:t>.</w:t>
      </w:r>
    </w:p>
    <w:p w14:paraId="37E61327" w14:textId="77777777" w:rsidR="00147133" w:rsidRDefault="00147133" w:rsidP="00B05206">
      <w:pPr>
        <w:keepNext/>
        <w:widowControl/>
        <w:numPr>
          <w:ilvl w:val="0"/>
          <w:numId w:val="18"/>
        </w:numPr>
        <w:spacing w:after="240"/>
        <w:ind w:left="720" w:right="720" w:firstLine="720"/>
        <w:jc w:val="both"/>
        <w:rPr>
          <w:b/>
        </w:rPr>
      </w:pPr>
      <w:r>
        <w:rPr>
          <w:b/>
        </w:rPr>
        <w:t>Notification of Default under Tenancy-in-Common Agreement.</w:t>
      </w:r>
    </w:p>
    <w:p w14:paraId="1079996C" w14:textId="7DD3374C" w:rsidR="00147133" w:rsidRDefault="00147133" w:rsidP="00636BCB">
      <w:pPr>
        <w:widowControl/>
        <w:spacing w:after="240"/>
        <w:ind w:left="720" w:right="720" w:firstLine="720"/>
        <w:jc w:val="both"/>
      </w:pPr>
      <w:r w:rsidRPr="004604DE">
        <w:t>Borrower hereby agrees that it will cause Co-Tenan</w:t>
      </w:r>
      <w:r>
        <w:t>t Representative</w:t>
      </w:r>
      <w:r w:rsidRPr="004604DE">
        <w:t xml:space="preserve"> to noti</w:t>
      </w:r>
      <w:r>
        <w:t>fy Lender in writing within ten </w:t>
      </w:r>
      <w:r w:rsidRPr="004604DE">
        <w:t>(10) days of a default by one or more of the parties under the Tenancy-in-Common Agreement.</w:t>
      </w:r>
    </w:p>
    <w:p w14:paraId="23FF82BA" w14:textId="77777777" w:rsidR="00147133" w:rsidRPr="000D70B6" w:rsidRDefault="00147133" w:rsidP="00636BCB">
      <w:pPr>
        <w:pStyle w:val="Heading2"/>
        <w:ind w:firstLine="720"/>
      </w:pPr>
      <w:r>
        <w:t>Subordination of the Tenancy-in-Common Agreement.</w:t>
      </w:r>
    </w:p>
    <w:p w14:paraId="1C46DFC8" w14:textId="77777777" w:rsidR="00147133" w:rsidRDefault="00147133" w:rsidP="00636BCB">
      <w:pPr>
        <w:widowControl/>
        <w:spacing w:after="240"/>
        <w:ind w:left="720" w:right="720" w:firstLine="720"/>
        <w:jc w:val="both"/>
      </w:pPr>
      <w:r w:rsidRPr="006B6BD3">
        <w:rPr>
          <w:color w:val="000000"/>
        </w:rPr>
        <w:t xml:space="preserve">It is specifically agreed by </w:t>
      </w:r>
      <w:r>
        <w:rPr>
          <w:color w:val="000000"/>
        </w:rPr>
        <w:t>Borrower</w:t>
      </w:r>
      <w:r w:rsidRPr="006B6BD3">
        <w:rPr>
          <w:color w:val="000000"/>
        </w:rPr>
        <w:t xml:space="preserve"> </w:t>
      </w:r>
      <w:r w:rsidR="008F24DC">
        <w:rPr>
          <w:color w:val="000000"/>
        </w:rPr>
        <w:t xml:space="preserve">and each Co-Tenant </w:t>
      </w:r>
      <w:r w:rsidRPr="006B6BD3">
        <w:rPr>
          <w:color w:val="000000"/>
        </w:rPr>
        <w:t xml:space="preserve">that the </w:t>
      </w:r>
      <w:r w:rsidRPr="004604DE">
        <w:t>Tenancy-in-Common Agreement</w:t>
      </w:r>
      <w:r w:rsidRPr="006B6BD3">
        <w:rPr>
          <w:color w:val="000000"/>
        </w:rPr>
        <w:t xml:space="preserve"> and all rights, remedies and indemnities benefiting Borrower </w:t>
      </w:r>
      <w:r w:rsidR="008F24DC">
        <w:rPr>
          <w:color w:val="000000"/>
        </w:rPr>
        <w:t xml:space="preserve">or each Co-Tenant </w:t>
      </w:r>
      <w:r w:rsidRPr="006B6BD3">
        <w:rPr>
          <w:color w:val="000000"/>
        </w:rPr>
        <w:t xml:space="preserve">thereunder, the Mortgaged Property or the ownership or operation thereof are hereby expressly made fully junior, secondary, subject and subordinate to the rights and remedies of Lender under the Loan Documents, including any future advances made by Lender. Each </w:t>
      </w:r>
      <w:r>
        <w:rPr>
          <w:color w:val="000000"/>
        </w:rPr>
        <w:t>Co-Tenant</w:t>
      </w:r>
      <w:r w:rsidRPr="006B6BD3">
        <w:rPr>
          <w:color w:val="000000"/>
        </w:rPr>
        <w:t xml:space="preserve"> further subordinates and hereby makes junior, secondary and subject any and all purchase options, rights of first refusal and rights to purchase the Mortgaged Property or any right or interest therein, whether now owned or hereafter acquired (including, without limitation, any rights arising under </w:t>
      </w:r>
      <w:r>
        <w:rPr>
          <w:color w:val="000000"/>
        </w:rPr>
        <w:t>the Insolvency Laws</w:t>
      </w:r>
      <w:r w:rsidRPr="006B6BD3">
        <w:rPr>
          <w:color w:val="000000"/>
        </w:rPr>
        <w:t xml:space="preserve">) to the terms and provisions of the Loan Documents.  To the extent that any one or more </w:t>
      </w:r>
      <w:r>
        <w:rPr>
          <w:color w:val="000000"/>
        </w:rPr>
        <w:t>Co-Tenant</w:t>
      </w:r>
      <w:r w:rsidRPr="006B6BD3">
        <w:rPr>
          <w:color w:val="000000"/>
        </w:rPr>
        <w:t xml:space="preserve"> </w:t>
      </w:r>
      <w:r>
        <w:rPr>
          <w:color w:val="000000"/>
        </w:rPr>
        <w:t xml:space="preserve">has </w:t>
      </w:r>
      <w:r w:rsidRPr="006B6BD3">
        <w:rPr>
          <w:color w:val="000000"/>
        </w:rPr>
        <w:t xml:space="preserve">or in the future obtains any lien or similar interest whatsoever in or to the Mortgaged Property, or any right or interest therein, whether now owned or hereafter acquired, such lien or other </w:t>
      </w:r>
      <w:r w:rsidR="008F24DC">
        <w:rPr>
          <w:color w:val="000000"/>
        </w:rPr>
        <w:t xml:space="preserve">similar </w:t>
      </w:r>
      <w:r w:rsidRPr="006B6BD3">
        <w:rPr>
          <w:color w:val="000000"/>
        </w:rPr>
        <w:t xml:space="preserve">interest shall be and hereby is waived in its entirety until the Indebtedness is paid in full. </w:t>
      </w:r>
      <w:r>
        <w:rPr>
          <w:color w:val="000000"/>
        </w:rPr>
        <w:t xml:space="preserve"> </w:t>
      </w:r>
      <w:r w:rsidRPr="006B6BD3">
        <w:rPr>
          <w:color w:val="000000"/>
        </w:rPr>
        <w:t xml:space="preserve">Each </w:t>
      </w:r>
      <w:r>
        <w:rPr>
          <w:color w:val="000000"/>
        </w:rPr>
        <w:t>Co-Tenant</w:t>
      </w:r>
      <w:r w:rsidRPr="006B6BD3">
        <w:rPr>
          <w:color w:val="000000"/>
        </w:rPr>
        <w:t xml:space="preserve"> further agrees and covenants that prior to </w:t>
      </w:r>
      <w:r w:rsidRPr="006B6BD3">
        <w:t xml:space="preserve">the full and final payment of the Indebtedness and the written final release and discharge of the Indebtedness by Lender, each </w:t>
      </w:r>
      <w:r>
        <w:t>Co-Tenant</w:t>
      </w:r>
      <w:r w:rsidRPr="006B6BD3">
        <w:rPr>
          <w:color w:val="000000"/>
        </w:rPr>
        <w:t xml:space="preserve"> will not pursue any remedies against one another to which it may be entitled pursuant to the </w:t>
      </w:r>
      <w:r w:rsidRPr="006B6BD3">
        <w:t>Tenancy</w:t>
      </w:r>
      <w:r>
        <w:t>-</w:t>
      </w:r>
      <w:r w:rsidRPr="006B6BD3">
        <w:t>in</w:t>
      </w:r>
      <w:r>
        <w:t>-</w:t>
      </w:r>
      <w:r w:rsidRPr="006B6BD3">
        <w:t xml:space="preserve">Common </w:t>
      </w:r>
      <w:r w:rsidRPr="006B6BD3">
        <w:rPr>
          <w:color w:val="000000"/>
        </w:rPr>
        <w:t>Agreement or to which it may be entitled at law or in equity</w:t>
      </w:r>
      <w:r>
        <w:rPr>
          <w:color w:val="000000"/>
        </w:rPr>
        <w:t xml:space="preserve"> without Lender’s prior written consent</w:t>
      </w:r>
      <w:r w:rsidRPr="006B6BD3">
        <w:rPr>
          <w:color w:val="000000"/>
        </w:rPr>
        <w:t>, other than the right expressly set forth in the</w:t>
      </w:r>
      <w:r>
        <w:rPr>
          <w:color w:val="000000"/>
        </w:rPr>
        <w:t xml:space="preserve"> </w:t>
      </w:r>
      <w:r w:rsidRPr="006B6BD3">
        <w:t>Tenancy</w:t>
      </w:r>
      <w:r>
        <w:t>-</w:t>
      </w:r>
      <w:r w:rsidRPr="006B6BD3">
        <w:t>in</w:t>
      </w:r>
      <w:r>
        <w:t>-</w:t>
      </w:r>
      <w:r w:rsidRPr="006B6BD3">
        <w:t xml:space="preserve">Common </w:t>
      </w:r>
      <w:r w:rsidRPr="006B6BD3">
        <w:rPr>
          <w:color w:val="000000"/>
        </w:rPr>
        <w:t>Agreement to purchase the in</w:t>
      </w:r>
      <w:r>
        <w:rPr>
          <w:color w:val="000000"/>
        </w:rPr>
        <w:t>terest of another Co-Tenant</w:t>
      </w:r>
      <w:r w:rsidR="00540A3A">
        <w:rPr>
          <w:color w:val="000000"/>
        </w:rPr>
        <w:t>, to reduce the interest of another Co-Tenant, or (subject to the provisions in Section</w:t>
      </w:r>
      <w:r w:rsidR="00B05206">
        <w:rPr>
          <w:color w:val="000000"/>
        </w:rPr>
        <w:t> </w:t>
      </w:r>
      <w:r w:rsidR="00540A3A">
        <w:rPr>
          <w:color w:val="000000"/>
        </w:rPr>
        <w:t xml:space="preserve">[__].04 (Bankruptcy) below) the right </w:t>
      </w:r>
      <w:r w:rsidR="00D2366A">
        <w:rPr>
          <w:color w:val="000000"/>
        </w:rPr>
        <w:t xml:space="preserve">to seek </w:t>
      </w:r>
      <w:r w:rsidR="00540A3A">
        <w:rPr>
          <w:color w:val="000000"/>
        </w:rPr>
        <w:t>contribution from another Co-Tenant</w:t>
      </w:r>
      <w:r w:rsidRPr="006B6BD3">
        <w:rPr>
          <w:color w:val="000000"/>
        </w:rPr>
        <w:t>.</w:t>
      </w:r>
    </w:p>
    <w:p w14:paraId="6603B6B3" w14:textId="77777777" w:rsidR="00147133" w:rsidRDefault="00147133" w:rsidP="00636BCB">
      <w:pPr>
        <w:pStyle w:val="Heading2"/>
        <w:ind w:firstLine="720"/>
      </w:pPr>
      <w:r w:rsidRPr="00416231">
        <w:rPr>
          <w:color w:val="000000"/>
        </w:rPr>
        <w:lastRenderedPageBreak/>
        <w:t>Bankruptcy</w:t>
      </w:r>
      <w:r>
        <w:t>.</w:t>
      </w:r>
    </w:p>
    <w:p w14:paraId="3784CFF6" w14:textId="77777777" w:rsidR="00147133" w:rsidRDefault="00147133" w:rsidP="00636BCB">
      <w:pPr>
        <w:widowControl/>
        <w:numPr>
          <w:ilvl w:val="0"/>
          <w:numId w:val="17"/>
        </w:numPr>
        <w:tabs>
          <w:tab w:val="clear" w:pos="828"/>
        </w:tabs>
        <w:spacing w:after="240"/>
        <w:ind w:left="720" w:right="720" w:firstLine="720"/>
        <w:jc w:val="both"/>
      </w:pPr>
      <w:r>
        <w:t>After the occurrence of a Bankruptcy Event involving any one or more Co-Tenant(s), each Co-Tenant:</w:t>
      </w:r>
    </w:p>
    <w:p w14:paraId="7D2AEF86" w14:textId="77777777" w:rsidR="00147133" w:rsidRDefault="00147133" w:rsidP="00636BCB">
      <w:pPr>
        <w:widowControl/>
        <w:numPr>
          <w:ilvl w:val="1"/>
          <w:numId w:val="14"/>
        </w:numPr>
        <w:tabs>
          <w:tab w:val="clear" w:pos="1440"/>
        </w:tabs>
        <w:spacing w:after="240"/>
        <w:ind w:right="720" w:firstLine="720"/>
        <w:jc w:val="both"/>
      </w:pPr>
      <w:r>
        <w:t>agrees not to seek the sale of its tenancy-in-common interest separate and apart from any sale of the undivided fee simple interest in the Mortgaged Property.  Each Co-Tenant acknowledges and agrees that the detriment to the interest of each other Co-Tenant outweighs the benefit to such Co-Tenant.</w:t>
      </w:r>
    </w:p>
    <w:p w14:paraId="7333DBBE" w14:textId="77777777" w:rsidR="00147133" w:rsidRDefault="00147133" w:rsidP="00636BCB">
      <w:pPr>
        <w:widowControl/>
        <w:numPr>
          <w:ilvl w:val="1"/>
          <w:numId w:val="14"/>
        </w:numPr>
        <w:tabs>
          <w:tab w:val="clear" w:pos="1440"/>
        </w:tabs>
        <w:spacing w:after="240"/>
        <w:ind w:right="720" w:firstLine="720"/>
        <w:jc w:val="both"/>
      </w:pPr>
      <w:r>
        <w:t>assigns to Lender, as additional security for the Indebtedness, its right to reject or ratify the Tenancy-in-Common Agreement under the Insolvency Laws</w:t>
      </w:r>
      <w:r w:rsidRPr="00D017E8">
        <w:t>.</w:t>
      </w:r>
    </w:p>
    <w:p w14:paraId="2781EFCD" w14:textId="77777777" w:rsidR="00147133" w:rsidRDefault="00147133" w:rsidP="00636BCB">
      <w:pPr>
        <w:widowControl/>
        <w:numPr>
          <w:ilvl w:val="0"/>
          <w:numId w:val="17"/>
        </w:numPr>
        <w:tabs>
          <w:tab w:val="clear" w:pos="828"/>
        </w:tabs>
        <w:spacing w:after="240"/>
        <w:ind w:left="720" w:right="720" w:firstLine="720"/>
        <w:jc w:val="both"/>
      </w:pPr>
      <w:r>
        <w:t xml:space="preserve">Neither Borrower nor any Co-Tenant shall have any right of, and </w:t>
      </w:r>
      <w:r w:rsidR="008F24DC">
        <w:t xml:space="preserve">each </w:t>
      </w:r>
      <w:r>
        <w:t>hereby waives any claim for, subrogation or reimbursement against any Co-Tenant or any general partner</w:t>
      </w:r>
      <w:r w:rsidR="004059BA">
        <w:t>, member</w:t>
      </w:r>
      <w:r>
        <w:t xml:space="preserve"> </w:t>
      </w:r>
      <w:r w:rsidR="008F24DC">
        <w:t xml:space="preserve">or manager </w:t>
      </w:r>
      <w:r>
        <w:t>of a Co-Tenant by reason of any payment by Borrower or by any Co-Tenant of the Indebtedness, whether such right or claim arises at law or in equity or under any contract or statute, until the Indebtedness has been paid in full and there has expired the maximum possible period thereafter during which any payment made by Borrower or such Co-Tenant to Lender with respect to the Indebtedness could be deemed a preference under the Insolvency Laws.</w:t>
      </w:r>
    </w:p>
    <w:p w14:paraId="3ED954FA" w14:textId="77777777" w:rsidR="00147133" w:rsidRDefault="00147133" w:rsidP="00636BCB">
      <w:pPr>
        <w:widowControl/>
        <w:numPr>
          <w:ilvl w:val="0"/>
          <w:numId w:val="17"/>
        </w:numPr>
        <w:tabs>
          <w:tab w:val="clear" w:pos="828"/>
        </w:tabs>
        <w:spacing w:after="240"/>
        <w:ind w:left="720" w:right="720" w:firstLine="720"/>
        <w:jc w:val="both"/>
      </w:pPr>
      <w:r>
        <w:t xml:space="preserve">If any payment by a Co-Tenant is held to constitute a preference under the Insolvency Laws, or if for any other reason Lender is required to refund any sums to </w:t>
      </w:r>
      <w:r w:rsidR="008F24DC">
        <w:t xml:space="preserve">a </w:t>
      </w:r>
      <w:r>
        <w:t>Co-Tenant, such refund shall not constitute a release of any liability of Borrower under the Note, the Security Instrument or any other Loan Documents.  It is the intention of Lender and Borrower that Borrower’s obligations under the Note, the Security Instrument and any other Loan Documents shall not be discharged except by Borrower’s performance of such obligations and then only to the extent of such performance.</w:t>
      </w:r>
    </w:p>
    <w:p w14:paraId="329DDBEE" w14:textId="77777777" w:rsidR="00147133" w:rsidRPr="006B6BD3" w:rsidRDefault="00147133" w:rsidP="00636BCB">
      <w:pPr>
        <w:widowControl/>
        <w:numPr>
          <w:ilvl w:val="0"/>
          <w:numId w:val="17"/>
        </w:numPr>
        <w:tabs>
          <w:tab w:val="clear" w:pos="828"/>
        </w:tabs>
        <w:spacing w:after="240"/>
        <w:ind w:left="720" w:right="720" w:firstLine="720"/>
        <w:jc w:val="both"/>
      </w:pPr>
      <w:r>
        <w:t xml:space="preserve">If, as the result of one or more Initial Bankruptcy Cases, an Initial Debtor </w:t>
      </w:r>
      <w:r w:rsidRPr="006B6BD3">
        <w:t>achieves confirmation of a plan th</w:t>
      </w:r>
      <w:r>
        <w:t>at impairs the liens granted Lender under the Security</w:t>
      </w:r>
      <w:r w:rsidRPr="006B6BD3">
        <w:t xml:space="preserve"> </w:t>
      </w:r>
      <w:r>
        <w:t>Instrument</w:t>
      </w:r>
      <w:r w:rsidRPr="006B6BD3">
        <w:t xml:space="preserve">, then each </w:t>
      </w:r>
      <w:r>
        <w:t>Co-Tenant</w:t>
      </w:r>
      <w:r w:rsidRPr="006B6BD3">
        <w:t xml:space="preserve"> shall agree as follows:</w:t>
      </w:r>
    </w:p>
    <w:p w14:paraId="6D0AFC85" w14:textId="77777777" w:rsidR="00147133" w:rsidRDefault="00147133" w:rsidP="00636BCB">
      <w:pPr>
        <w:widowControl/>
        <w:numPr>
          <w:ilvl w:val="0"/>
          <w:numId w:val="19"/>
        </w:numPr>
        <w:tabs>
          <w:tab w:val="clear" w:pos="1440"/>
        </w:tabs>
        <w:spacing w:after="240"/>
        <w:ind w:right="720" w:firstLine="720"/>
        <w:jc w:val="both"/>
      </w:pPr>
      <w:r>
        <w:t>e</w:t>
      </w:r>
      <w:r w:rsidRPr="004532E0">
        <w:t xml:space="preserve">ach </w:t>
      </w:r>
      <w:r>
        <w:t>Co-Tenant</w:t>
      </w:r>
      <w:r w:rsidRPr="006B6BD3">
        <w:t xml:space="preserve"> </w:t>
      </w:r>
      <w:r w:rsidRPr="004532E0">
        <w:t xml:space="preserve">would be </w:t>
      </w:r>
      <w:r w:rsidR="008F24DC">
        <w:t>a party</w:t>
      </w:r>
      <w:r w:rsidRPr="004532E0">
        <w:t>-in-interest in</w:t>
      </w:r>
      <w:r>
        <w:t xml:space="preserve"> the Initial Bankruptcy Case(s);</w:t>
      </w:r>
    </w:p>
    <w:p w14:paraId="598669F5" w14:textId="77777777" w:rsidR="00147133" w:rsidRDefault="00147133" w:rsidP="00636BCB">
      <w:pPr>
        <w:widowControl/>
        <w:numPr>
          <w:ilvl w:val="0"/>
          <w:numId w:val="19"/>
        </w:numPr>
        <w:tabs>
          <w:tab w:val="clear" w:pos="1440"/>
        </w:tabs>
        <w:spacing w:after="240"/>
        <w:ind w:right="720" w:firstLine="720"/>
        <w:jc w:val="both"/>
      </w:pPr>
      <w:r>
        <w:t>e</w:t>
      </w:r>
      <w:r w:rsidRPr="004532E0">
        <w:t xml:space="preserve">ach </w:t>
      </w:r>
      <w:r>
        <w:t>Co-Tenant</w:t>
      </w:r>
      <w:r w:rsidRPr="006B6BD3">
        <w:t xml:space="preserve"> </w:t>
      </w:r>
      <w:r w:rsidRPr="004532E0">
        <w:t xml:space="preserve">will bound by the terms of the plan confirmed in </w:t>
      </w:r>
      <w:r>
        <w:t>the Initial Bankruptcy Case(s);</w:t>
      </w:r>
    </w:p>
    <w:p w14:paraId="149BCEB9" w14:textId="77777777" w:rsidR="00147133" w:rsidRDefault="00147133" w:rsidP="00636BCB">
      <w:pPr>
        <w:widowControl/>
        <w:numPr>
          <w:ilvl w:val="0"/>
          <w:numId w:val="19"/>
        </w:numPr>
        <w:tabs>
          <w:tab w:val="clear" w:pos="1440"/>
        </w:tabs>
        <w:spacing w:after="240"/>
        <w:ind w:right="720" w:firstLine="720"/>
        <w:jc w:val="both"/>
      </w:pPr>
      <w:r>
        <w:lastRenderedPageBreak/>
        <w:t>e</w:t>
      </w:r>
      <w:r w:rsidRPr="004532E0">
        <w:t xml:space="preserve">ach </w:t>
      </w:r>
      <w:r>
        <w:t>Co-Tenant</w:t>
      </w:r>
      <w:r w:rsidRPr="006B6BD3">
        <w:t xml:space="preserve"> </w:t>
      </w:r>
      <w:r w:rsidRPr="004532E0">
        <w:t>will receive a benefit by reason of any impairment of Lender's lien that is authorized by the court in the Initial Bankruptcy Case;</w:t>
      </w:r>
    </w:p>
    <w:p w14:paraId="38564635" w14:textId="77777777" w:rsidR="00147133" w:rsidRDefault="00147133" w:rsidP="00636BCB">
      <w:pPr>
        <w:widowControl/>
        <w:numPr>
          <w:ilvl w:val="0"/>
          <w:numId w:val="19"/>
        </w:numPr>
        <w:tabs>
          <w:tab w:val="clear" w:pos="1440"/>
        </w:tabs>
        <w:spacing w:after="240"/>
        <w:ind w:right="720" w:firstLine="720"/>
        <w:jc w:val="both"/>
      </w:pPr>
      <w:r>
        <w:t>t</w:t>
      </w:r>
      <w:r w:rsidRPr="004532E0">
        <w:t xml:space="preserve">he interest of each </w:t>
      </w:r>
      <w:r>
        <w:t>Co-Tenant</w:t>
      </w:r>
      <w:r w:rsidRPr="006B6BD3">
        <w:t xml:space="preserve"> </w:t>
      </w:r>
      <w:r w:rsidRPr="004532E0">
        <w:t>in the Mortgaged Property and the terms of the lien impairment will have been adequately repres</w:t>
      </w:r>
      <w:r>
        <w:t>ented by Initial Debtor(s);</w:t>
      </w:r>
    </w:p>
    <w:p w14:paraId="60D01F2B" w14:textId="77777777" w:rsidR="00147133" w:rsidRDefault="00147133" w:rsidP="00636BCB">
      <w:pPr>
        <w:widowControl/>
        <w:numPr>
          <w:ilvl w:val="0"/>
          <w:numId w:val="19"/>
        </w:numPr>
        <w:tabs>
          <w:tab w:val="clear" w:pos="1440"/>
        </w:tabs>
        <w:spacing w:after="240"/>
        <w:ind w:right="720" w:firstLine="720"/>
        <w:jc w:val="both"/>
      </w:pPr>
      <w:r>
        <w:t>t</w:t>
      </w:r>
      <w:r w:rsidRPr="004532E0">
        <w:t xml:space="preserve">he impairment of the liens was a critical and necessary part of the plan and order confirming the plan issued </w:t>
      </w:r>
      <w:r>
        <w:t>in the Initial Bankruptcy Case(s);</w:t>
      </w:r>
    </w:p>
    <w:p w14:paraId="2B488C24" w14:textId="77777777" w:rsidR="00147133" w:rsidRDefault="00147133" w:rsidP="00636BCB">
      <w:pPr>
        <w:widowControl/>
        <w:numPr>
          <w:ilvl w:val="0"/>
          <w:numId w:val="19"/>
        </w:numPr>
        <w:tabs>
          <w:tab w:val="clear" w:pos="1440"/>
        </w:tabs>
        <w:spacing w:after="240"/>
        <w:ind w:right="720" w:firstLine="720"/>
        <w:jc w:val="both"/>
      </w:pPr>
      <w:r w:rsidRPr="004532E0">
        <w:t xml:space="preserve">Lender and each </w:t>
      </w:r>
      <w:r>
        <w:t>Co-Tenant</w:t>
      </w:r>
      <w:r w:rsidRPr="006B6BD3">
        <w:t xml:space="preserve"> </w:t>
      </w:r>
      <w:r w:rsidRPr="004532E0">
        <w:t>constitute all of the material necessary parties to the Initial Bankruptcy Case(s) and any Subsequent Bankruptcy Case</w:t>
      </w:r>
      <w:r>
        <w:t>(s) filed with respect to the Mortgaged Property;</w:t>
      </w:r>
    </w:p>
    <w:p w14:paraId="1934FA8D" w14:textId="77777777" w:rsidR="00147133" w:rsidRDefault="00147133" w:rsidP="00636BCB">
      <w:pPr>
        <w:widowControl/>
        <w:numPr>
          <w:ilvl w:val="0"/>
          <w:numId w:val="19"/>
        </w:numPr>
        <w:tabs>
          <w:tab w:val="clear" w:pos="1440"/>
        </w:tabs>
        <w:spacing w:after="240"/>
        <w:ind w:right="720" w:firstLine="720"/>
        <w:jc w:val="both"/>
      </w:pPr>
      <w:r>
        <w:t>t</w:t>
      </w:r>
      <w:r w:rsidRPr="004532E0">
        <w:t>he confirmation order issued by a U</w:t>
      </w:r>
      <w:r>
        <w:t>nited States</w:t>
      </w:r>
      <w:r w:rsidRPr="004532E0">
        <w:t xml:space="preserve"> </w:t>
      </w:r>
      <w:r>
        <w:t>b</w:t>
      </w:r>
      <w:r w:rsidRPr="004532E0">
        <w:t xml:space="preserve">ankruptcy (or </w:t>
      </w:r>
      <w:r>
        <w:t>d</w:t>
      </w:r>
      <w:r w:rsidRPr="004532E0">
        <w:t xml:space="preserve">istrict) </w:t>
      </w:r>
      <w:r>
        <w:t>c</w:t>
      </w:r>
      <w:r w:rsidRPr="004532E0">
        <w:t>ourt will have been issued by a c</w:t>
      </w:r>
      <w:r>
        <w:t>ourt of competent jurisdiction;</w:t>
      </w:r>
    </w:p>
    <w:p w14:paraId="207CB2EA" w14:textId="77777777" w:rsidR="00147133" w:rsidRDefault="00147133" w:rsidP="00636BCB">
      <w:pPr>
        <w:widowControl/>
        <w:numPr>
          <w:ilvl w:val="0"/>
          <w:numId w:val="19"/>
        </w:numPr>
        <w:tabs>
          <w:tab w:val="clear" w:pos="1440"/>
        </w:tabs>
        <w:spacing w:after="240"/>
        <w:ind w:right="720" w:firstLine="720"/>
        <w:jc w:val="both"/>
      </w:pPr>
      <w:r>
        <w:t>t</w:t>
      </w:r>
      <w:r w:rsidRPr="004532E0">
        <w:t>he confirmation order in the Initial Bankruptcy Case(s) constitutes</w:t>
      </w:r>
      <w:r>
        <w:t xml:space="preserve"> a final judgment on the merits;</w:t>
      </w:r>
    </w:p>
    <w:p w14:paraId="6AE87D9E" w14:textId="77777777" w:rsidR="00147133" w:rsidRDefault="00147133" w:rsidP="00636BCB">
      <w:pPr>
        <w:widowControl/>
        <w:numPr>
          <w:ilvl w:val="0"/>
          <w:numId w:val="19"/>
        </w:numPr>
        <w:tabs>
          <w:tab w:val="clear" w:pos="1440"/>
        </w:tabs>
        <w:spacing w:after="240"/>
        <w:ind w:right="720" w:firstLine="720"/>
        <w:jc w:val="both"/>
      </w:pPr>
      <w:r>
        <w:t>a</w:t>
      </w:r>
      <w:r w:rsidRPr="004532E0">
        <w:t xml:space="preserve">ny lien impairment request in the </w:t>
      </w:r>
      <w:r>
        <w:t xml:space="preserve">Subsequent Bankruptcy Case </w:t>
      </w:r>
      <w:r w:rsidRPr="004532E0">
        <w:t xml:space="preserve">will </w:t>
      </w:r>
      <w:r w:rsidR="008F24DC">
        <w:t xml:space="preserve">be </w:t>
      </w:r>
      <w:r w:rsidRPr="004532E0">
        <w:t>identical in all material respects to the lien impairment claims made in the Initial Bankruptcy Case(s); and</w:t>
      </w:r>
    </w:p>
    <w:p w14:paraId="74280298" w14:textId="29CD5C7B" w:rsidR="00147133" w:rsidRPr="002B79A7" w:rsidRDefault="00147133" w:rsidP="002B79A7">
      <w:pPr>
        <w:widowControl/>
        <w:numPr>
          <w:ilvl w:val="0"/>
          <w:numId w:val="19"/>
        </w:numPr>
        <w:tabs>
          <w:tab w:val="clear" w:pos="1440"/>
        </w:tabs>
        <w:spacing w:after="240"/>
        <w:ind w:right="720" w:firstLine="720"/>
        <w:jc w:val="both"/>
      </w:pPr>
      <w:r w:rsidRPr="004532E0">
        <w:rPr>
          <w:b/>
        </w:rPr>
        <w:t xml:space="preserve">that in view of the foregoing agreements, </w:t>
      </w:r>
      <w:r w:rsidRPr="004532E0">
        <w:rPr>
          <w:rFonts w:ascii="Times New Roman Bold" w:hAnsi="Times New Roman Bold"/>
          <w:b/>
          <w:caps/>
        </w:rPr>
        <w:t>EACH Co-Tenant</w:t>
      </w:r>
      <w:r w:rsidRPr="004532E0">
        <w:rPr>
          <w:b/>
        </w:rPr>
        <w:t xml:space="preserve"> SHALL CONFIRM </w:t>
      </w:r>
      <w:r w:rsidR="008F24DC">
        <w:rPr>
          <w:b/>
        </w:rPr>
        <w:t>IT HAS</w:t>
      </w:r>
      <w:r w:rsidRPr="004532E0">
        <w:rPr>
          <w:b/>
        </w:rPr>
        <w:t xml:space="preserve"> </w:t>
      </w:r>
      <w:r>
        <w:rPr>
          <w:b/>
        </w:rPr>
        <w:t xml:space="preserve">WAIVED THE RIGHT TO REQUEST </w:t>
      </w:r>
      <w:r w:rsidRPr="004532E0">
        <w:rPr>
          <w:b/>
        </w:rPr>
        <w:t xml:space="preserve">BANKRUPTCY RELIEF AFTER THE CONFIRMATION OF A PLAN IN THE INITIAL BANKRUPTCY CASE(S), AND SHALL FURTHER AGREE </w:t>
      </w:r>
      <w:r w:rsidR="008F24DC">
        <w:rPr>
          <w:b/>
        </w:rPr>
        <w:t xml:space="preserve">IT </w:t>
      </w:r>
      <w:r w:rsidRPr="004532E0">
        <w:rPr>
          <w:b/>
        </w:rPr>
        <w:t xml:space="preserve">WILL CONSENT TO ENTRY OF AN ORDER DISMISSING ANY SUBSEQUENT BANKRUPTCY CASE CONCERNING THE </w:t>
      </w:r>
      <w:r>
        <w:rPr>
          <w:b/>
        </w:rPr>
        <w:t>MORTGAGED PROPERTY</w:t>
      </w:r>
      <w:r w:rsidRPr="004532E0">
        <w:rPr>
          <w:b/>
        </w:rPr>
        <w:t xml:space="preserve">, AND THAT THE FAILURE OF ONE OR MORE </w:t>
      </w:r>
      <w:r>
        <w:rPr>
          <w:b/>
        </w:rPr>
        <w:t>CO-TENANTS</w:t>
      </w:r>
      <w:r w:rsidRPr="004532E0">
        <w:rPr>
          <w:b/>
        </w:rPr>
        <w:t xml:space="preserve"> TO CONSENT TO AN ORDER OF DISMISSAL AS REQUESTED BY LENDER IN THE SUBSEQUENT BANKRUPTCY CASE SHALL EVIDENCE “BAD FAITH” ON THE PART OF THE </w:t>
      </w:r>
      <w:r>
        <w:rPr>
          <w:b/>
        </w:rPr>
        <w:t>CO-TENANTS</w:t>
      </w:r>
      <w:r w:rsidRPr="004532E0">
        <w:rPr>
          <w:b/>
        </w:rPr>
        <w:t>, AND SUCH FAILURE TO CONSENT SHALL CONSTITUTE ADEQUATE CAUSE FOR DISMISSAL OF THE SUBSEQUENT BANKRUPTCY CASE.</w:t>
      </w:r>
    </w:p>
    <w:p w14:paraId="4E32BBDF" w14:textId="07DA8046" w:rsidR="002B79A7" w:rsidRPr="000D70B6" w:rsidRDefault="002B79A7" w:rsidP="002B79A7">
      <w:pPr>
        <w:pStyle w:val="Heading2"/>
        <w:ind w:firstLine="720"/>
      </w:pPr>
      <w:r>
        <w:lastRenderedPageBreak/>
        <w:t>Co-Tenant Representative</w:t>
      </w:r>
      <w:r w:rsidR="00554AD1">
        <w:t>; Interest Rate Cap Purchaser</w:t>
      </w:r>
      <w:r>
        <w:t>.</w:t>
      </w:r>
    </w:p>
    <w:p w14:paraId="403967B5" w14:textId="5C54A12D" w:rsidR="004B08DB" w:rsidRDefault="00F3320B" w:rsidP="0079670E">
      <w:pPr>
        <w:widowControl/>
        <w:numPr>
          <w:ilvl w:val="0"/>
          <w:numId w:val="20"/>
        </w:numPr>
        <w:tabs>
          <w:tab w:val="clear" w:pos="828"/>
        </w:tabs>
        <w:spacing w:after="240"/>
        <w:ind w:left="720" w:right="720" w:firstLine="720"/>
        <w:jc w:val="both"/>
      </w:pPr>
      <w:bookmarkStart w:id="22" w:name="_Hlk105491653"/>
      <w:r w:rsidRPr="00F3320B">
        <w:t>Notwithstanding anything in this</w:t>
      </w:r>
      <w:r w:rsidR="007226BF">
        <w:t xml:space="preserve"> Loan</w:t>
      </w:r>
      <w:r w:rsidRPr="00F3320B">
        <w:t xml:space="preserve"> Agreement or the other Loan Documents to the contrary, Lender shall have the right to approve any replacement </w:t>
      </w:r>
      <w:r w:rsidR="00E9417D">
        <w:t>Co-Tenant Representative</w:t>
      </w:r>
      <w:r w:rsidRPr="00F3320B">
        <w:t>.</w:t>
      </w:r>
    </w:p>
    <w:p w14:paraId="7D3FAFD2" w14:textId="32A8EA53" w:rsidR="00F56843" w:rsidRDefault="00407F32" w:rsidP="0079670E">
      <w:pPr>
        <w:widowControl/>
        <w:numPr>
          <w:ilvl w:val="0"/>
          <w:numId w:val="20"/>
        </w:numPr>
        <w:tabs>
          <w:tab w:val="clear" w:pos="828"/>
        </w:tabs>
        <w:spacing w:after="240"/>
        <w:ind w:left="720" w:right="720" w:firstLine="720"/>
        <w:jc w:val="both"/>
      </w:pPr>
      <w:r>
        <w:t>Lender has consented to the purchase of the required interest rate cap by Co-Tenant Representative in lieu of all Co-Tenants.</w:t>
      </w:r>
      <w:r w:rsidRPr="00407F32">
        <w:t xml:space="preserve"> </w:t>
      </w:r>
      <w:r>
        <w:t>It</w:t>
      </w:r>
      <w:r w:rsidRPr="00F3320B">
        <w:t xml:space="preserve"> shall be a condition precedent to any Transfer by the Co-Tenant Representative</w:t>
      </w:r>
      <w:r>
        <w:t xml:space="preserve"> </w:t>
      </w:r>
      <w:r w:rsidRPr="00F3320B">
        <w:t>of all of its interests in the Mortgaged Property or any other replacement of</w:t>
      </w:r>
      <w:r>
        <w:t xml:space="preserve"> Co-Tenant Representative</w:t>
      </w:r>
      <w:r w:rsidRPr="00F3320B">
        <w:t xml:space="preserve"> by another Co-Tenant that (</w:t>
      </w:r>
      <w:r w:rsidR="007226BF">
        <w:t>1</w:t>
      </w:r>
      <w:r w:rsidRPr="00F3320B">
        <w:t>)</w:t>
      </w:r>
      <w:r w:rsidR="007226BF">
        <w:t> </w:t>
      </w:r>
      <w:r w:rsidRPr="00F3320B">
        <w:t>such Co-Tenant Representative shall appoint a replacement Co-Tenant Representative in accordance with the Tenancy</w:t>
      </w:r>
      <w:r>
        <w:t>-</w:t>
      </w:r>
      <w:r w:rsidRPr="00F3320B">
        <w:t>in</w:t>
      </w:r>
      <w:r>
        <w:t>-</w:t>
      </w:r>
      <w:r w:rsidRPr="00F3320B">
        <w:t>Common Agreement, and (</w:t>
      </w:r>
      <w:r w:rsidR="007226BF">
        <w:t>2</w:t>
      </w:r>
      <w:r w:rsidRPr="00F3320B">
        <w:t>)</w:t>
      </w:r>
      <w:r w:rsidR="007226BF">
        <w:t> </w:t>
      </w:r>
      <w:r w:rsidRPr="00F3320B">
        <w:t>the</w:t>
      </w:r>
      <w:r w:rsidR="00DE54EE">
        <w:t xml:space="preserve"> replacement</w:t>
      </w:r>
      <w:r w:rsidRPr="00F3320B">
        <w:t xml:space="preserve"> Co-Tenant Representative shall (</w:t>
      </w:r>
      <w:r w:rsidR="007226BF">
        <w:t>A</w:t>
      </w:r>
      <w:r w:rsidRPr="00F3320B">
        <w:t>)</w:t>
      </w:r>
      <w:r w:rsidR="007226BF">
        <w:t> </w:t>
      </w:r>
      <w:r w:rsidRPr="00F3320B">
        <w:t xml:space="preserve">assume the existing Interest Rate Cap and </w:t>
      </w:r>
      <w:r>
        <w:t>the Interest Rate Cap Reserve and Security Agreement</w:t>
      </w:r>
      <w:r w:rsidRPr="00F3320B">
        <w:t xml:space="preserve"> or (</w:t>
      </w:r>
      <w:r w:rsidR="007226BF">
        <w:t>B</w:t>
      </w:r>
      <w:r w:rsidRPr="00F3320B">
        <w:t>)</w:t>
      </w:r>
      <w:r w:rsidR="007226BF">
        <w:t> </w:t>
      </w:r>
      <w:r w:rsidRPr="00F3320B">
        <w:t xml:space="preserve">purchase a replacement Interest Rate Cap and execute and deliver a replacement </w:t>
      </w:r>
      <w:r w:rsidRPr="005A013D">
        <w:t xml:space="preserve">Interest Rate Cap Documents </w:t>
      </w:r>
      <w:r w:rsidRPr="00F3320B">
        <w:t>and a new Interest Rate Cap Reserve and Security Agreement</w:t>
      </w:r>
      <w:r w:rsidR="005D2C52">
        <w:t>,</w:t>
      </w:r>
      <w:r w:rsidRPr="00F3320B">
        <w:t xml:space="preserve"> each in a form acceptable to Lender.</w:t>
      </w:r>
    </w:p>
    <w:p w14:paraId="2494E42E" w14:textId="3F427B7A" w:rsidR="00F56843" w:rsidRPr="00F3320B" w:rsidRDefault="008E7FD7" w:rsidP="0079670E">
      <w:pPr>
        <w:widowControl/>
        <w:numPr>
          <w:ilvl w:val="0"/>
          <w:numId w:val="20"/>
        </w:numPr>
        <w:tabs>
          <w:tab w:val="clear" w:pos="828"/>
        </w:tabs>
        <w:spacing w:after="240"/>
        <w:ind w:left="720" w:right="720" w:firstLine="720"/>
        <w:jc w:val="both"/>
      </w:pPr>
      <w:r>
        <w:t xml:space="preserve">No </w:t>
      </w:r>
      <w:r w:rsidR="00F56843">
        <w:t xml:space="preserve">Co-Tenant shall dispute the authorization, execution, or enforceability of the Interest Rate Cap Reserve and Security Agreement, </w:t>
      </w:r>
      <w:r w:rsidR="00E13CD3">
        <w:t xml:space="preserve">or any supplemental </w:t>
      </w:r>
      <w:r w:rsidR="006C15AD">
        <w:t xml:space="preserve">or replacement </w:t>
      </w:r>
      <w:r w:rsidR="00F260B3">
        <w:t>i</w:t>
      </w:r>
      <w:r w:rsidR="006C15AD">
        <w:t xml:space="preserve">nterest </w:t>
      </w:r>
      <w:r w:rsidR="00F260B3">
        <w:t>r</w:t>
      </w:r>
      <w:r w:rsidR="006C15AD">
        <w:t xml:space="preserve">ate </w:t>
      </w:r>
      <w:r w:rsidR="00F260B3">
        <w:t>c</w:t>
      </w:r>
      <w:r w:rsidR="006C15AD">
        <w:t xml:space="preserve">ap </w:t>
      </w:r>
      <w:r w:rsidR="00F260B3">
        <w:t>r</w:t>
      </w:r>
      <w:r w:rsidR="006C15AD">
        <w:t xml:space="preserve">eserve and </w:t>
      </w:r>
      <w:r w:rsidR="00F260B3">
        <w:t>s</w:t>
      </w:r>
      <w:r w:rsidR="006C15AD">
        <w:t xml:space="preserve">ecurity </w:t>
      </w:r>
      <w:r w:rsidR="00F260B3">
        <w:t>a</w:t>
      </w:r>
      <w:r w:rsidR="006C15AD">
        <w:t>greement</w:t>
      </w:r>
      <w:r w:rsidR="00E13CD3">
        <w:t xml:space="preserve"> execute</w:t>
      </w:r>
      <w:r w:rsidR="006C15AD">
        <w:t>d</w:t>
      </w:r>
      <w:r w:rsidR="00E13CD3">
        <w:t xml:space="preserve"> by the Co-Tenant representative on behalf of all Co-Tenants</w:t>
      </w:r>
      <w:r w:rsidR="006C15AD">
        <w:t xml:space="preserve"> pursuant to the </w:t>
      </w:r>
      <w:r w:rsidR="006C15AD" w:rsidRPr="006C15AD">
        <w:t>Tenancy-in-Common Agreement</w:t>
      </w:r>
      <w:r w:rsidR="006C15AD">
        <w:t xml:space="preserve"> or the Interest Rate Cap Reserve and Security Agreement</w:t>
      </w:r>
      <w:r w:rsidR="00E13CD3">
        <w:t>.</w:t>
      </w:r>
    </w:p>
    <w:bookmarkEnd w:id="22"/>
    <w:p w14:paraId="7D738D0D" w14:textId="0316F267" w:rsidR="00980539" w:rsidRPr="007226BF" w:rsidRDefault="007226BF" w:rsidP="007226BF">
      <w:pPr>
        <w:widowControl/>
        <w:tabs>
          <w:tab w:val="left" w:pos="-720"/>
        </w:tabs>
        <w:suppressAutoHyphens/>
        <w:jc w:val="center"/>
        <w:rPr>
          <w:b/>
          <w:bCs/>
        </w:rPr>
      </w:pPr>
      <w:r>
        <w:rPr>
          <w:b/>
          <w:bCs/>
        </w:rPr>
        <w:t>[Remainder of Page Intentionally Blank]</w:t>
      </w:r>
    </w:p>
    <w:sectPr w:rsidR="00980539" w:rsidRPr="007226BF" w:rsidSect="007226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16E2" w14:textId="77777777" w:rsidR="00D458A0" w:rsidRDefault="00D458A0">
      <w:r>
        <w:separator/>
      </w:r>
    </w:p>
  </w:endnote>
  <w:endnote w:type="continuationSeparator" w:id="0">
    <w:p w14:paraId="5ED8BDAC" w14:textId="77777777" w:rsidR="00D458A0" w:rsidRDefault="00D4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9BE2" w14:textId="77777777" w:rsidR="00311C06" w:rsidRDefault="00311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D584" w14:textId="77777777" w:rsidR="00C83C31" w:rsidRPr="00E418A6" w:rsidRDefault="00C83C31" w:rsidP="00980539">
    <w:pPr>
      <w:rPr>
        <w:sz w:val="20"/>
      </w:rPr>
    </w:pPr>
  </w:p>
  <w:tbl>
    <w:tblPr>
      <w:tblW w:w="9690" w:type="dxa"/>
      <w:tblInd w:w="-90" w:type="dxa"/>
      <w:tblLook w:val="01E0" w:firstRow="1" w:lastRow="1" w:firstColumn="1" w:lastColumn="1" w:noHBand="0" w:noVBand="0"/>
    </w:tblPr>
    <w:tblGrid>
      <w:gridCol w:w="4038"/>
      <w:gridCol w:w="2460"/>
      <w:gridCol w:w="3192"/>
    </w:tblGrid>
    <w:tr w:rsidR="00B46D0D" w:rsidRPr="007937C3" w14:paraId="471B170F" w14:textId="77777777" w:rsidTr="00B46D0D">
      <w:tc>
        <w:tcPr>
          <w:tcW w:w="4038" w:type="dxa"/>
          <w:shd w:val="clear" w:color="auto" w:fill="auto"/>
          <w:vAlign w:val="bottom"/>
        </w:tcPr>
        <w:p w14:paraId="31910ABC" w14:textId="03CAA642" w:rsidR="00B46D0D" w:rsidRPr="007937C3" w:rsidRDefault="00B46D0D" w:rsidP="00B46D0D">
          <w:pPr>
            <w:pStyle w:val="Footer"/>
            <w:rPr>
              <w:b/>
              <w:sz w:val="20"/>
            </w:rPr>
          </w:pPr>
          <w:r w:rsidRPr="007937C3">
            <w:rPr>
              <w:b/>
              <w:sz w:val="20"/>
            </w:rPr>
            <w:t>Modifications to Multifamily Loan and Security Agreement (Co-Tenants</w:t>
          </w:r>
          <w:r>
            <w:rPr>
              <w:b/>
              <w:sz w:val="20"/>
            </w:rPr>
            <w:t xml:space="preserve"> – Single Cap Purchaser</w:t>
          </w:r>
          <w:r w:rsidRPr="007937C3">
            <w:rPr>
              <w:b/>
              <w:sz w:val="20"/>
            </w:rPr>
            <w:t>)</w:t>
          </w:r>
        </w:p>
      </w:tc>
      <w:tc>
        <w:tcPr>
          <w:tcW w:w="2460" w:type="dxa"/>
          <w:vAlign w:val="bottom"/>
        </w:tcPr>
        <w:p w14:paraId="1FC4814F" w14:textId="53F72D3F" w:rsidR="00B46D0D" w:rsidRPr="007937C3" w:rsidRDefault="00B46D0D" w:rsidP="00B46D0D">
          <w:pPr>
            <w:pStyle w:val="Footer"/>
            <w:jc w:val="center"/>
            <w:rPr>
              <w:b/>
              <w:sz w:val="20"/>
            </w:rPr>
          </w:pPr>
          <w:r w:rsidRPr="007937C3">
            <w:rPr>
              <w:b/>
              <w:sz w:val="20"/>
            </w:rPr>
            <w:t>Form 6</w:t>
          </w:r>
          <w:r w:rsidR="00A4339A">
            <w:rPr>
              <w:b/>
              <w:sz w:val="20"/>
            </w:rPr>
            <w:t>232</w:t>
          </w:r>
          <w:r>
            <w:rPr>
              <w:b/>
              <w:sz w:val="20"/>
            </w:rPr>
            <w:t>.Single Cap Purchaser</w:t>
          </w:r>
        </w:p>
      </w:tc>
      <w:tc>
        <w:tcPr>
          <w:tcW w:w="3192" w:type="dxa"/>
          <w:shd w:val="clear" w:color="auto" w:fill="auto"/>
          <w:vAlign w:val="bottom"/>
        </w:tcPr>
        <w:p w14:paraId="055C75AD" w14:textId="77777777" w:rsidR="00B46D0D" w:rsidRPr="007937C3" w:rsidRDefault="00B46D0D" w:rsidP="00B46D0D">
          <w:pPr>
            <w:pStyle w:val="Footer"/>
            <w:jc w:val="right"/>
            <w:rPr>
              <w:b/>
              <w:sz w:val="20"/>
            </w:rPr>
          </w:pPr>
          <w:r w:rsidRPr="007937C3">
            <w:rPr>
              <w:b/>
              <w:sz w:val="20"/>
            </w:rPr>
            <w:t xml:space="preserve">Page </w:t>
          </w:r>
          <w:r w:rsidRPr="007937C3">
            <w:rPr>
              <w:rStyle w:val="PageNumber"/>
              <w:b/>
              <w:sz w:val="20"/>
            </w:rPr>
            <w:fldChar w:fldCharType="begin"/>
          </w:r>
          <w:r w:rsidRPr="007937C3">
            <w:rPr>
              <w:rStyle w:val="PageNumber"/>
              <w:b/>
              <w:sz w:val="20"/>
            </w:rPr>
            <w:instrText xml:space="preserve"> PAGE </w:instrText>
          </w:r>
          <w:r w:rsidRPr="007937C3">
            <w:rPr>
              <w:rStyle w:val="PageNumber"/>
              <w:b/>
              <w:sz w:val="20"/>
            </w:rPr>
            <w:fldChar w:fldCharType="separate"/>
          </w:r>
          <w:r>
            <w:rPr>
              <w:rStyle w:val="PageNumber"/>
              <w:b/>
              <w:noProof/>
              <w:sz w:val="20"/>
            </w:rPr>
            <w:t>5</w:t>
          </w:r>
          <w:r w:rsidRPr="007937C3">
            <w:rPr>
              <w:rStyle w:val="PageNumber"/>
              <w:b/>
              <w:sz w:val="20"/>
            </w:rPr>
            <w:fldChar w:fldCharType="end"/>
          </w:r>
        </w:p>
      </w:tc>
    </w:tr>
    <w:tr w:rsidR="00142024" w:rsidRPr="007937C3" w14:paraId="27AFA6E9" w14:textId="77777777" w:rsidTr="00921982">
      <w:tc>
        <w:tcPr>
          <w:tcW w:w="4038" w:type="dxa"/>
          <w:shd w:val="clear" w:color="auto" w:fill="auto"/>
        </w:tcPr>
        <w:p w14:paraId="7550708A" w14:textId="77777777" w:rsidR="00142024" w:rsidRPr="007937C3" w:rsidRDefault="00142024" w:rsidP="00142024">
          <w:pPr>
            <w:pStyle w:val="Footer"/>
            <w:rPr>
              <w:b/>
              <w:sz w:val="20"/>
            </w:rPr>
          </w:pPr>
          <w:r w:rsidRPr="007937C3">
            <w:rPr>
              <w:b/>
              <w:sz w:val="20"/>
            </w:rPr>
            <w:t>Fannie Mae</w:t>
          </w:r>
        </w:p>
      </w:tc>
      <w:tc>
        <w:tcPr>
          <w:tcW w:w="2460" w:type="dxa"/>
          <w:vAlign w:val="bottom"/>
        </w:tcPr>
        <w:p w14:paraId="5F7DC74A" w14:textId="4E1E86BC" w:rsidR="00142024" w:rsidRDefault="007D5BBB" w:rsidP="00142024">
          <w:pPr>
            <w:pStyle w:val="Footer"/>
            <w:jc w:val="center"/>
            <w:rPr>
              <w:b/>
              <w:sz w:val="20"/>
            </w:rPr>
          </w:pPr>
          <w:r>
            <w:rPr>
              <w:rFonts w:ascii="Times New Roman Bold" w:hAnsi="Times New Roman Bold"/>
              <w:b/>
              <w:sz w:val="20"/>
            </w:rPr>
            <w:t>11-23</w:t>
          </w:r>
        </w:p>
      </w:tc>
      <w:tc>
        <w:tcPr>
          <w:tcW w:w="3192" w:type="dxa"/>
          <w:shd w:val="clear" w:color="auto" w:fill="auto"/>
          <w:vAlign w:val="bottom"/>
        </w:tcPr>
        <w:p w14:paraId="034FCE72" w14:textId="0BD01E26" w:rsidR="00142024" w:rsidRPr="007937C3" w:rsidRDefault="00142024" w:rsidP="00142024">
          <w:pPr>
            <w:pStyle w:val="Footer"/>
            <w:jc w:val="right"/>
            <w:rPr>
              <w:b/>
              <w:sz w:val="20"/>
            </w:rPr>
          </w:pPr>
          <w:r>
            <w:rPr>
              <w:rFonts w:ascii="Times New Roman Bold" w:hAnsi="Times New Roman Bold"/>
              <w:b/>
              <w:sz w:val="20"/>
            </w:rPr>
            <w:t>© 2023 Fannie Mae</w:t>
          </w:r>
        </w:p>
      </w:tc>
    </w:tr>
  </w:tbl>
  <w:p w14:paraId="18A2F4AB" w14:textId="77777777" w:rsidR="00C83C31" w:rsidRPr="00980539" w:rsidRDefault="00C83C31" w:rsidP="00980539">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263C" w14:textId="77777777" w:rsidR="007226BF" w:rsidRPr="00E418A6" w:rsidRDefault="007226BF" w:rsidP="007226BF">
    <w:pPr>
      <w:rPr>
        <w:sz w:val="20"/>
      </w:rPr>
    </w:pPr>
  </w:p>
  <w:tbl>
    <w:tblPr>
      <w:tblW w:w="9690" w:type="dxa"/>
      <w:tblInd w:w="-90" w:type="dxa"/>
      <w:tblLook w:val="01E0" w:firstRow="1" w:lastRow="1" w:firstColumn="1" w:lastColumn="1" w:noHBand="0" w:noVBand="0"/>
    </w:tblPr>
    <w:tblGrid>
      <w:gridCol w:w="4038"/>
      <w:gridCol w:w="2460"/>
      <w:gridCol w:w="3192"/>
    </w:tblGrid>
    <w:tr w:rsidR="007226BF" w:rsidRPr="007937C3" w14:paraId="51C6038B" w14:textId="77777777" w:rsidTr="00CB7FE4">
      <w:tc>
        <w:tcPr>
          <w:tcW w:w="4038" w:type="dxa"/>
          <w:shd w:val="clear" w:color="auto" w:fill="auto"/>
          <w:vAlign w:val="bottom"/>
        </w:tcPr>
        <w:p w14:paraId="302F8977" w14:textId="77777777" w:rsidR="007226BF" w:rsidRPr="007937C3" w:rsidRDefault="007226BF" w:rsidP="007226BF">
          <w:pPr>
            <w:pStyle w:val="Footer"/>
            <w:rPr>
              <w:b/>
              <w:sz w:val="20"/>
            </w:rPr>
          </w:pPr>
          <w:r w:rsidRPr="007937C3">
            <w:rPr>
              <w:b/>
              <w:sz w:val="20"/>
            </w:rPr>
            <w:t>Modifications to Multifamily Loan and Security Agreement (Co-Tenants</w:t>
          </w:r>
          <w:r>
            <w:rPr>
              <w:b/>
              <w:sz w:val="20"/>
            </w:rPr>
            <w:t xml:space="preserve"> – Single Cap Purchaser</w:t>
          </w:r>
          <w:r w:rsidRPr="007937C3">
            <w:rPr>
              <w:b/>
              <w:sz w:val="20"/>
            </w:rPr>
            <w:t>)</w:t>
          </w:r>
        </w:p>
      </w:tc>
      <w:tc>
        <w:tcPr>
          <w:tcW w:w="2460" w:type="dxa"/>
          <w:shd w:val="clear" w:color="auto" w:fill="auto"/>
          <w:vAlign w:val="bottom"/>
        </w:tcPr>
        <w:p w14:paraId="2AB96084" w14:textId="150F9D67" w:rsidR="007226BF" w:rsidRPr="007937C3" w:rsidRDefault="007226BF" w:rsidP="007226BF">
          <w:pPr>
            <w:pStyle w:val="Footer"/>
            <w:jc w:val="center"/>
            <w:rPr>
              <w:b/>
              <w:sz w:val="20"/>
            </w:rPr>
          </w:pPr>
          <w:r w:rsidRPr="007937C3">
            <w:rPr>
              <w:b/>
              <w:sz w:val="20"/>
            </w:rPr>
            <w:t>Form 6</w:t>
          </w:r>
          <w:r w:rsidR="00A4339A">
            <w:rPr>
              <w:b/>
              <w:sz w:val="20"/>
            </w:rPr>
            <w:t>232</w:t>
          </w:r>
          <w:r>
            <w:rPr>
              <w:b/>
              <w:sz w:val="20"/>
            </w:rPr>
            <w:t>.</w:t>
          </w:r>
          <w:r w:rsidR="00B46D0D">
            <w:rPr>
              <w:b/>
              <w:sz w:val="20"/>
            </w:rPr>
            <w:t>Single Cap Purchaser</w:t>
          </w:r>
        </w:p>
      </w:tc>
      <w:tc>
        <w:tcPr>
          <w:tcW w:w="3192" w:type="dxa"/>
          <w:shd w:val="clear" w:color="auto" w:fill="auto"/>
          <w:vAlign w:val="bottom"/>
        </w:tcPr>
        <w:p w14:paraId="24B869F8" w14:textId="77777777" w:rsidR="007226BF" w:rsidRPr="007937C3" w:rsidRDefault="007226BF" w:rsidP="007226BF">
          <w:pPr>
            <w:pStyle w:val="Footer"/>
            <w:jc w:val="right"/>
            <w:rPr>
              <w:b/>
              <w:sz w:val="20"/>
            </w:rPr>
          </w:pPr>
          <w:r w:rsidRPr="007937C3">
            <w:rPr>
              <w:b/>
              <w:sz w:val="20"/>
            </w:rPr>
            <w:t xml:space="preserve">Page </w:t>
          </w:r>
          <w:r w:rsidRPr="007937C3">
            <w:rPr>
              <w:rStyle w:val="PageNumber"/>
              <w:b/>
              <w:sz w:val="20"/>
            </w:rPr>
            <w:fldChar w:fldCharType="begin"/>
          </w:r>
          <w:r w:rsidRPr="007937C3">
            <w:rPr>
              <w:rStyle w:val="PageNumber"/>
              <w:b/>
              <w:sz w:val="20"/>
            </w:rPr>
            <w:instrText xml:space="preserve"> PAGE </w:instrText>
          </w:r>
          <w:r w:rsidRPr="007937C3">
            <w:rPr>
              <w:rStyle w:val="PageNumber"/>
              <w:b/>
              <w:sz w:val="20"/>
            </w:rPr>
            <w:fldChar w:fldCharType="separate"/>
          </w:r>
          <w:r>
            <w:rPr>
              <w:rStyle w:val="PageNumber"/>
              <w:b/>
              <w:sz w:val="20"/>
            </w:rPr>
            <w:t>2</w:t>
          </w:r>
          <w:r w:rsidRPr="007937C3">
            <w:rPr>
              <w:rStyle w:val="PageNumber"/>
              <w:b/>
              <w:sz w:val="20"/>
            </w:rPr>
            <w:fldChar w:fldCharType="end"/>
          </w:r>
        </w:p>
      </w:tc>
    </w:tr>
    <w:tr w:rsidR="00142024" w:rsidRPr="007937C3" w14:paraId="2F7015B1" w14:textId="77777777" w:rsidTr="00ED35B6">
      <w:tc>
        <w:tcPr>
          <w:tcW w:w="4038" w:type="dxa"/>
          <w:shd w:val="clear" w:color="auto" w:fill="auto"/>
        </w:tcPr>
        <w:p w14:paraId="3482CB08" w14:textId="77777777" w:rsidR="00142024" w:rsidRPr="007937C3" w:rsidRDefault="00142024" w:rsidP="00142024">
          <w:pPr>
            <w:pStyle w:val="Footer"/>
            <w:rPr>
              <w:b/>
              <w:sz w:val="20"/>
            </w:rPr>
          </w:pPr>
          <w:r w:rsidRPr="007937C3">
            <w:rPr>
              <w:b/>
              <w:sz w:val="20"/>
            </w:rPr>
            <w:t>Fannie Mae</w:t>
          </w:r>
        </w:p>
      </w:tc>
      <w:tc>
        <w:tcPr>
          <w:tcW w:w="2460" w:type="dxa"/>
          <w:shd w:val="clear" w:color="auto" w:fill="auto"/>
          <w:vAlign w:val="bottom"/>
        </w:tcPr>
        <w:p w14:paraId="18B3BC17" w14:textId="69DC27B6" w:rsidR="00142024" w:rsidRPr="007937C3" w:rsidRDefault="007D5BBB" w:rsidP="00142024">
          <w:pPr>
            <w:pStyle w:val="Footer"/>
            <w:jc w:val="center"/>
            <w:rPr>
              <w:b/>
              <w:sz w:val="20"/>
            </w:rPr>
          </w:pPr>
          <w:r>
            <w:rPr>
              <w:rFonts w:ascii="Times New Roman Bold" w:hAnsi="Times New Roman Bold"/>
              <w:b/>
              <w:sz w:val="20"/>
            </w:rPr>
            <w:t>11-23</w:t>
          </w:r>
        </w:p>
      </w:tc>
      <w:tc>
        <w:tcPr>
          <w:tcW w:w="3192" w:type="dxa"/>
          <w:shd w:val="clear" w:color="auto" w:fill="auto"/>
          <w:vAlign w:val="bottom"/>
        </w:tcPr>
        <w:p w14:paraId="42436B16" w14:textId="2AC532C0" w:rsidR="00142024" w:rsidRPr="007937C3" w:rsidRDefault="00142024" w:rsidP="00142024">
          <w:pPr>
            <w:pStyle w:val="Footer"/>
            <w:jc w:val="right"/>
            <w:rPr>
              <w:b/>
              <w:sz w:val="20"/>
            </w:rPr>
          </w:pPr>
          <w:r>
            <w:rPr>
              <w:rFonts w:ascii="Times New Roman Bold" w:hAnsi="Times New Roman Bold"/>
              <w:b/>
              <w:sz w:val="20"/>
            </w:rPr>
            <w:t>© 2023 Fannie Mae</w:t>
          </w:r>
        </w:p>
      </w:tc>
    </w:tr>
  </w:tbl>
  <w:p w14:paraId="6FE6C0D2" w14:textId="77777777" w:rsidR="007226BF" w:rsidRDefault="007226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73657" w14:textId="77777777" w:rsidR="00D458A0" w:rsidRDefault="00D458A0">
      <w:r>
        <w:separator/>
      </w:r>
    </w:p>
  </w:footnote>
  <w:footnote w:type="continuationSeparator" w:id="0">
    <w:p w14:paraId="4E684180" w14:textId="77777777" w:rsidR="00D458A0" w:rsidRDefault="00D45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4C6F" w14:textId="77777777" w:rsidR="00311C06" w:rsidRDefault="00311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0494" w14:textId="77777777" w:rsidR="00311C06" w:rsidRDefault="00311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DC32" w14:textId="77777777" w:rsidR="006A254C" w:rsidRPr="008712E6" w:rsidRDefault="006A254C" w:rsidP="00142024">
    <w:pPr>
      <w:pStyle w:val="Header"/>
      <w:spacing w:after="240"/>
      <w:jc w:val="center"/>
      <w:rPr>
        <w:b/>
        <w:bCs/>
      </w:rPr>
    </w:pPr>
    <w:r w:rsidRPr="008712E6">
      <w:rPr>
        <w:b/>
        <w:bCs/>
      </w:rPr>
      <w:t xml:space="preserve">[DRAFTING NOTE: </w:t>
    </w:r>
    <w:r>
      <w:rPr>
        <w:b/>
        <w:bCs/>
      </w:rPr>
      <w:t xml:space="preserve">THIS FORM 6232.SINGLE CAP PURCHASER IS </w:t>
    </w:r>
    <w:r w:rsidRPr="008712E6">
      <w:rPr>
        <w:b/>
        <w:bCs/>
      </w:rPr>
      <w:t xml:space="preserve">TO BE USED IN </w:t>
    </w:r>
    <w:r>
      <w:rPr>
        <w:b/>
        <w:bCs/>
      </w:rPr>
      <w:t xml:space="preserve">LIEU OF THE FORM 6232 IN THE EVENT FANNIE MAE APPROVES USE OF </w:t>
    </w:r>
    <w:r w:rsidRPr="008712E6">
      <w:rPr>
        <w:b/>
        <w:bCs/>
      </w:rPr>
      <w:t xml:space="preserve">THE </w:t>
    </w:r>
    <w:r>
      <w:rPr>
        <w:b/>
        <w:bCs/>
      </w:rPr>
      <w:t xml:space="preserve">FORM </w:t>
    </w:r>
    <w:r w:rsidRPr="008712E6">
      <w:rPr>
        <w:b/>
        <w:bCs/>
      </w:rPr>
      <w:t>6442.TIC]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4AC"/>
    <w:multiLevelType w:val="multilevel"/>
    <w:tmpl w:val="E190D594"/>
    <w:lvl w:ilvl="0">
      <w:start w:val="1"/>
      <w:numFmt w:val="decimal"/>
      <w:pStyle w:val="Heading1"/>
      <w:suff w:val="nothing"/>
      <w:lvlText w:val="Article %1"/>
      <w:lvlJc w:val="left"/>
      <w:pPr>
        <w:ind w:left="0" w:firstLine="0"/>
      </w:pPr>
      <w:rPr>
        <w:rFonts w:ascii="Times New Roman Bold" w:hAnsi="Times New Roman Bold" w:hint="default"/>
        <w:b/>
        <w:i w:val="0"/>
        <w:caps/>
        <w:color w:val="auto"/>
        <w:sz w:val="28"/>
        <w:u w:val="none"/>
      </w:rPr>
    </w:lvl>
    <w:lvl w:ilvl="1">
      <w:start w:val="1"/>
      <w:numFmt w:val="decimalZero"/>
      <w:pStyle w:val="Heading2"/>
      <w:isLgl/>
      <w:lvlText w:val="Section [__].%2"/>
      <w:lvlJc w:val="left"/>
      <w:pPr>
        <w:tabs>
          <w:tab w:val="num" w:pos="5760"/>
        </w:tabs>
        <w:ind w:left="360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 w15:restartNumberingAfterBreak="0">
    <w:nsid w:val="037236EA"/>
    <w:multiLevelType w:val="singleLevel"/>
    <w:tmpl w:val="582C69F0"/>
    <w:lvl w:ilvl="0">
      <w:start w:val="3"/>
      <w:numFmt w:val="lowerLetter"/>
      <w:lvlText w:val="(%1)"/>
      <w:lvlJc w:val="left"/>
      <w:pPr>
        <w:tabs>
          <w:tab w:val="num" w:pos="720"/>
        </w:tabs>
        <w:ind w:firstLine="72"/>
      </w:pPr>
      <w:rPr>
        <w:rFonts w:ascii="Garamond" w:hAnsi="Garamond" w:cs="Garamond"/>
        <w:snapToGrid/>
        <w:spacing w:val="-9"/>
        <w:sz w:val="27"/>
        <w:szCs w:val="27"/>
      </w:rPr>
    </w:lvl>
  </w:abstractNum>
  <w:abstractNum w:abstractNumId="2" w15:restartNumberingAfterBreak="0">
    <w:nsid w:val="06BA0D7F"/>
    <w:multiLevelType w:val="singleLevel"/>
    <w:tmpl w:val="06D2EBB6"/>
    <w:lvl w:ilvl="0">
      <w:start w:val="1"/>
      <w:numFmt w:val="decimal"/>
      <w:lvlText w:val="%1."/>
      <w:lvlJc w:val="left"/>
      <w:pPr>
        <w:tabs>
          <w:tab w:val="num" w:pos="1440"/>
        </w:tabs>
        <w:ind w:left="0" w:firstLine="720"/>
      </w:pPr>
      <w:rPr>
        <w:rFonts w:ascii="Times New Roman" w:hAnsi="Times New Roman" w:hint="default"/>
        <w:b w:val="0"/>
        <w:i w:val="0"/>
        <w:snapToGrid/>
        <w:spacing w:val="2"/>
        <w:sz w:val="24"/>
        <w:szCs w:val="24"/>
      </w:rPr>
    </w:lvl>
  </w:abstractNum>
  <w:abstractNum w:abstractNumId="3" w15:restartNumberingAfterBreak="0">
    <w:nsid w:val="07F05F29"/>
    <w:multiLevelType w:val="singleLevel"/>
    <w:tmpl w:val="0F27A10B"/>
    <w:lvl w:ilvl="0">
      <w:start w:val="1"/>
      <w:numFmt w:val="lowerLetter"/>
      <w:lvlText w:val="(%1)"/>
      <w:lvlJc w:val="left"/>
      <w:pPr>
        <w:tabs>
          <w:tab w:val="num" w:pos="720"/>
        </w:tabs>
        <w:ind w:left="1440" w:firstLine="72"/>
      </w:pPr>
      <w:rPr>
        <w:snapToGrid/>
        <w:spacing w:val="1"/>
        <w:sz w:val="24"/>
        <w:szCs w:val="24"/>
      </w:rPr>
    </w:lvl>
  </w:abstractNum>
  <w:abstractNum w:abstractNumId="4" w15:restartNumberingAfterBreak="0">
    <w:nsid w:val="0AEA64CC"/>
    <w:multiLevelType w:val="multilevel"/>
    <w:tmpl w:val="16A4FAEA"/>
    <w:lvl w:ilvl="0">
      <w:start w:val="1"/>
      <w:numFmt w:val="lowerLetter"/>
      <w:lvlText w:val="(%1)"/>
      <w:lvlJc w:val="left"/>
      <w:pPr>
        <w:tabs>
          <w:tab w:val="num" w:pos="720"/>
        </w:tabs>
        <w:ind w:left="1440" w:firstLine="72"/>
      </w:pPr>
      <w:rPr>
        <w:b w:val="0"/>
        <w:snapToGrid/>
        <w:spacing w:val="1"/>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D024376"/>
    <w:multiLevelType w:val="hybridMultilevel"/>
    <w:tmpl w:val="D376E810"/>
    <w:lvl w:ilvl="0" w:tplc="8C10CC5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D076859"/>
    <w:multiLevelType w:val="hybridMultilevel"/>
    <w:tmpl w:val="F248343A"/>
    <w:lvl w:ilvl="0" w:tplc="FFFFFFFF">
      <w:start w:val="1"/>
      <w:numFmt w:val="lowerLetter"/>
      <w:lvlText w:val="(%1)"/>
      <w:lvlJc w:val="left"/>
      <w:pPr>
        <w:tabs>
          <w:tab w:val="num" w:pos="828"/>
        </w:tabs>
        <w:ind w:left="1548" w:firstLine="72"/>
      </w:pPr>
      <w:rPr>
        <w:b w:val="0"/>
        <w:snapToGrid/>
        <w:spacing w:val="1"/>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2042494"/>
    <w:multiLevelType w:val="hybridMultilevel"/>
    <w:tmpl w:val="DDCEB05E"/>
    <w:lvl w:ilvl="0" w:tplc="0F27A10B">
      <w:start w:val="1"/>
      <w:numFmt w:val="lowerLetter"/>
      <w:lvlText w:val="(%1)"/>
      <w:lvlJc w:val="left"/>
      <w:pPr>
        <w:tabs>
          <w:tab w:val="num" w:pos="720"/>
        </w:tabs>
        <w:ind w:left="1440" w:firstLine="72"/>
      </w:pPr>
      <w:rPr>
        <w:snapToGrid/>
        <w:spacing w:val="1"/>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FB16FC"/>
    <w:multiLevelType w:val="hybridMultilevel"/>
    <w:tmpl w:val="720A779C"/>
    <w:lvl w:ilvl="0" w:tplc="749AD5CA">
      <w:start w:val="1"/>
      <w:numFmt w:val="lowerLetter"/>
      <w:lvlText w:val="(%1)"/>
      <w:lvlJc w:val="left"/>
      <w:pPr>
        <w:tabs>
          <w:tab w:val="num" w:pos="828"/>
        </w:tabs>
        <w:ind w:left="1548" w:firstLine="72"/>
      </w:pPr>
      <w:rPr>
        <w:b w:val="0"/>
        <w:snapToGrid/>
        <w:spacing w:val="1"/>
        <w:sz w:val="24"/>
        <w:szCs w:val="24"/>
      </w:rPr>
    </w:lvl>
    <w:lvl w:ilvl="1" w:tplc="E85807E2">
      <w:start w:val="1"/>
      <w:numFmt w:val="decimal"/>
      <w:lvlText w:val="(%2)"/>
      <w:lvlJc w:val="left"/>
      <w:pPr>
        <w:tabs>
          <w:tab w:val="num" w:pos="1440"/>
        </w:tabs>
        <w:ind w:left="1440" w:hanging="360"/>
      </w:pPr>
      <w:rPr>
        <w:rFonts w:ascii="Times New Roman" w:hAnsi="Times New Roman" w:cs="Times New Roman" w:hint="default"/>
        <w:b w:val="0"/>
        <w:bCs w:val="0"/>
        <w:snapToGrid/>
        <w:color w:val="auto"/>
        <w:spacing w:val="1"/>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C508D2"/>
    <w:multiLevelType w:val="hybridMultilevel"/>
    <w:tmpl w:val="3B84B7E0"/>
    <w:lvl w:ilvl="0" w:tplc="0F27A10B">
      <w:start w:val="1"/>
      <w:numFmt w:val="lowerLetter"/>
      <w:lvlText w:val="(%1)"/>
      <w:lvlJc w:val="left"/>
      <w:pPr>
        <w:tabs>
          <w:tab w:val="num" w:pos="720"/>
        </w:tabs>
        <w:ind w:left="1440" w:firstLine="72"/>
      </w:pPr>
      <w:rPr>
        <w:snapToGrid/>
        <w:spacing w:val="1"/>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1" w15:restartNumberingAfterBreak="0">
    <w:nsid w:val="43514F4D"/>
    <w:multiLevelType w:val="hybridMultilevel"/>
    <w:tmpl w:val="F248343A"/>
    <w:lvl w:ilvl="0" w:tplc="749AD5CA">
      <w:start w:val="1"/>
      <w:numFmt w:val="lowerLetter"/>
      <w:lvlText w:val="(%1)"/>
      <w:lvlJc w:val="left"/>
      <w:pPr>
        <w:tabs>
          <w:tab w:val="num" w:pos="828"/>
        </w:tabs>
        <w:ind w:left="1548" w:firstLine="72"/>
      </w:pPr>
      <w:rPr>
        <w:b w:val="0"/>
        <w:snapToGrid/>
        <w:spacing w:val="1"/>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D10DE2"/>
    <w:multiLevelType w:val="multilevel"/>
    <w:tmpl w:val="82CA0844"/>
    <w:lvl w:ilvl="0">
      <w:start w:val="1"/>
      <w:numFmt w:val="lowerLetter"/>
      <w:lvlText w:val="(%1)"/>
      <w:lvlJc w:val="left"/>
      <w:pPr>
        <w:tabs>
          <w:tab w:val="num" w:pos="720"/>
        </w:tabs>
        <w:ind w:left="1440" w:firstLine="72"/>
      </w:pPr>
      <w:rPr>
        <w:b w:val="0"/>
        <w:snapToGrid/>
        <w:spacing w:val="1"/>
        <w:sz w:val="24"/>
        <w:szCs w:val="24"/>
      </w:rPr>
    </w:lvl>
    <w:lvl w:ilvl="1">
      <w:start w:val="1"/>
      <w:numFmt w:val="decimal"/>
      <w:lvlText w:val="%2."/>
      <w:lvlJc w:val="left"/>
      <w:pPr>
        <w:tabs>
          <w:tab w:val="num" w:pos="1440"/>
        </w:tabs>
        <w:ind w:left="1440" w:hanging="360"/>
      </w:pPr>
      <w:rPr>
        <w:rFonts w:ascii="Times New Roman" w:hAnsi="Times New Roman" w:cs="Times New Roman" w:hint="default"/>
        <w:b w:val="0"/>
        <w:bCs w:val="0"/>
        <w:snapToGrid/>
        <w:color w:val="auto"/>
        <w:spacing w:val="1"/>
        <w:sz w:val="24"/>
        <w:szCs w:val="24"/>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9AC5A19"/>
    <w:multiLevelType w:val="hybridMultilevel"/>
    <w:tmpl w:val="05FCE236"/>
    <w:lvl w:ilvl="0" w:tplc="470AC040">
      <w:start w:val="2"/>
      <w:numFmt w:val="low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5BF919A0"/>
    <w:multiLevelType w:val="multilevel"/>
    <w:tmpl w:val="48DA5D80"/>
    <w:lvl w:ilvl="0">
      <w:start w:val="1"/>
      <w:numFmt w:val="lowerLetter"/>
      <w:lvlText w:val="(%1)"/>
      <w:lvlJc w:val="left"/>
      <w:pPr>
        <w:tabs>
          <w:tab w:val="num" w:pos="720"/>
        </w:tabs>
        <w:ind w:left="1440" w:firstLine="72"/>
      </w:pPr>
      <w:rPr>
        <w:snapToGrid/>
        <w:spacing w:val="1"/>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142597C"/>
    <w:multiLevelType w:val="hybridMultilevel"/>
    <w:tmpl w:val="1D825D42"/>
    <w:lvl w:ilvl="0" w:tplc="13307CFE">
      <w:start w:val="1"/>
      <w:numFmt w:val="lowerLetter"/>
      <w:lvlText w:val="(%1)"/>
      <w:lvlJc w:val="left"/>
      <w:pPr>
        <w:tabs>
          <w:tab w:val="num" w:pos="720"/>
        </w:tabs>
        <w:ind w:left="1440" w:firstLine="72"/>
      </w:pPr>
      <w:rPr>
        <w:b/>
        <w:snapToGrid/>
        <w:spacing w:val="1"/>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210C7B"/>
    <w:multiLevelType w:val="multilevel"/>
    <w:tmpl w:val="257436BC"/>
    <w:lvl w:ilvl="0">
      <w:start w:val="1"/>
      <w:numFmt w:val="decimal"/>
      <w:suff w:val="nothing"/>
      <w:lvlText w:val="Article %1"/>
      <w:lvlJc w:val="left"/>
      <w:pPr>
        <w:ind w:left="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216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7" w15:restartNumberingAfterBreak="0">
    <w:nsid w:val="6ACF550F"/>
    <w:multiLevelType w:val="multilevel"/>
    <w:tmpl w:val="ABD238BC"/>
    <w:lvl w:ilvl="0">
      <w:start w:val="1"/>
      <w:numFmt w:val="decimal"/>
      <w:suff w:val="nothing"/>
      <w:lvlText w:val="Article %1"/>
      <w:lvlJc w:val="left"/>
      <w:pPr>
        <w:ind w:left="0" w:firstLine="0"/>
      </w:pPr>
      <w:rPr>
        <w:rFonts w:ascii="Times New Roman Bold" w:hAnsi="Times New Roman Bold" w:hint="default"/>
        <w:b/>
        <w:i w:val="0"/>
        <w:caps/>
        <w:color w:val="auto"/>
        <w:sz w:val="28"/>
        <w:u w:val="none"/>
      </w:rPr>
    </w:lvl>
    <w:lvl w:ilvl="1">
      <w:start w:val="1"/>
      <w:numFmt w:val="decimalZero"/>
      <w:isLgl/>
      <w:lvlText w:val="Section [__].%2"/>
      <w:lvlJc w:val="left"/>
      <w:pPr>
        <w:tabs>
          <w:tab w:val="num" w:pos="216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8" w15:restartNumberingAfterBreak="0">
    <w:nsid w:val="6BFD156C"/>
    <w:multiLevelType w:val="hybridMultilevel"/>
    <w:tmpl w:val="3F04CCBC"/>
    <w:lvl w:ilvl="0" w:tplc="2FDA3DC0">
      <w:start w:val="1"/>
      <w:numFmt w:val="decimal"/>
      <w:lvlText w:val="(%1)"/>
      <w:lvlJc w:val="left"/>
      <w:pPr>
        <w:tabs>
          <w:tab w:val="num" w:pos="1440"/>
        </w:tabs>
        <w:ind w:left="1440" w:hanging="360"/>
      </w:pPr>
      <w:rPr>
        <w:rFonts w:ascii="Times New Roman" w:hAnsi="Times New Roman" w:cs="Georgia" w:hint="default"/>
        <w:b w:val="0"/>
        <w:bCs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8959268">
    <w:abstractNumId w:val="2"/>
  </w:num>
  <w:num w:numId="2" w16cid:durableId="1446539134">
    <w:abstractNumId w:val="3"/>
  </w:num>
  <w:num w:numId="3" w16cid:durableId="1063867781">
    <w:abstractNumId w:val="1"/>
  </w:num>
  <w:num w:numId="4" w16cid:durableId="627861160">
    <w:abstractNumId w:val="5"/>
  </w:num>
  <w:num w:numId="5" w16cid:durableId="1492717037">
    <w:abstractNumId w:val="10"/>
  </w:num>
  <w:num w:numId="6" w16cid:durableId="11418452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0040222">
    <w:abstractNumId w:val="13"/>
  </w:num>
  <w:num w:numId="8" w16cid:durableId="277763313">
    <w:abstractNumId w:val="7"/>
  </w:num>
  <w:num w:numId="9" w16cid:durableId="696155871">
    <w:abstractNumId w:val="0"/>
  </w:num>
  <w:num w:numId="10" w16cid:durableId="1008563379">
    <w:abstractNumId w:val="16"/>
  </w:num>
  <w:num w:numId="11" w16cid:durableId="1965693086">
    <w:abstractNumId w:val="17"/>
  </w:num>
  <w:num w:numId="12" w16cid:durableId="1651247784">
    <w:abstractNumId w:val="15"/>
  </w:num>
  <w:num w:numId="13" w16cid:durableId="105321360">
    <w:abstractNumId w:val="14"/>
  </w:num>
  <w:num w:numId="14" w16cid:durableId="750851504">
    <w:abstractNumId w:val="8"/>
  </w:num>
  <w:num w:numId="15" w16cid:durableId="466632607">
    <w:abstractNumId w:val="4"/>
  </w:num>
  <w:num w:numId="16" w16cid:durableId="580796914">
    <w:abstractNumId w:val="12"/>
  </w:num>
  <w:num w:numId="17" w16cid:durableId="840244059">
    <w:abstractNumId w:val="11"/>
  </w:num>
  <w:num w:numId="18" w16cid:durableId="916667650">
    <w:abstractNumId w:val="9"/>
  </w:num>
  <w:num w:numId="19" w16cid:durableId="1972247463">
    <w:abstractNumId w:val="18"/>
  </w:num>
  <w:num w:numId="20" w16cid:durableId="1673796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DE"/>
    <w:rsid w:val="00030E92"/>
    <w:rsid w:val="0009353C"/>
    <w:rsid w:val="000A49F4"/>
    <w:rsid w:val="000D4FBE"/>
    <w:rsid w:val="000D70B6"/>
    <w:rsid w:val="00105F2D"/>
    <w:rsid w:val="00112E3A"/>
    <w:rsid w:val="0012116A"/>
    <w:rsid w:val="001414E1"/>
    <w:rsid w:val="00142024"/>
    <w:rsid w:val="00147133"/>
    <w:rsid w:val="0015387B"/>
    <w:rsid w:val="00175BDB"/>
    <w:rsid w:val="00197392"/>
    <w:rsid w:val="001C73F9"/>
    <w:rsid w:val="001D46D2"/>
    <w:rsid w:val="001E2957"/>
    <w:rsid w:val="001F5F63"/>
    <w:rsid w:val="002047AB"/>
    <w:rsid w:val="002344FB"/>
    <w:rsid w:val="00293532"/>
    <w:rsid w:val="0029431B"/>
    <w:rsid w:val="002A2813"/>
    <w:rsid w:val="002B79A7"/>
    <w:rsid w:val="002E334B"/>
    <w:rsid w:val="002F4A6E"/>
    <w:rsid w:val="00311C06"/>
    <w:rsid w:val="00316335"/>
    <w:rsid w:val="00320A99"/>
    <w:rsid w:val="00346091"/>
    <w:rsid w:val="00350D6B"/>
    <w:rsid w:val="00365A86"/>
    <w:rsid w:val="00370C19"/>
    <w:rsid w:val="003B0762"/>
    <w:rsid w:val="004059BA"/>
    <w:rsid w:val="00407F32"/>
    <w:rsid w:val="00412D2C"/>
    <w:rsid w:val="00416231"/>
    <w:rsid w:val="004179EE"/>
    <w:rsid w:val="00445BDC"/>
    <w:rsid w:val="00446439"/>
    <w:rsid w:val="0045231A"/>
    <w:rsid w:val="004604DE"/>
    <w:rsid w:val="00462C8A"/>
    <w:rsid w:val="004A0E11"/>
    <w:rsid w:val="004B08DB"/>
    <w:rsid w:val="005019CD"/>
    <w:rsid w:val="00523382"/>
    <w:rsid w:val="005307FC"/>
    <w:rsid w:val="00531908"/>
    <w:rsid w:val="00540A3A"/>
    <w:rsid w:val="005411F9"/>
    <w:rsid w:val="00554AD1"/>
    <w:rsid w:val="00556490"/>
    <w:rsid w:val="00560C60"/>
    <w:rsid w:val="005612A7"/>
    <w:rsid w:val="0057294D"/>
    <w:rsid w:val="00592E0B"/>
    <w:rsid w:val="005A013D"/>
    <w:rsid w:val="005A1274"/>
    <w:rsid w:val="005C58F6"/>
    <w:rsid w:val="005C6D7E"/>
    <w:rsid w:val="005D1BC9"/>
    <w:rsid w:val="005D2C52"/>
    <w:rsid w:val="005E31F4"/>
    <w:rsid w:val="005E6E08"/>
    <w:rsid w:val="005F335D"/>
    <w:rsid w:val="00636BCB"/>
    <w:rsid w:val="006A254C"/>
    <w:rsid w:val="006A49F2"/>
    <w:rsid w:val="006B44B7"/>
    <w:rsid w:val="006C15AD"/>
    <w:rsid w:val="007226BF"/>
    <w:rsid w:val="0073409E"/>
    <w:rsid w:val="00742CA3"/>
    <w:rsid w:val="007527E2"/>
    <w:rsid w:val="007570D4"/>
    <w:rsid w:val="0078047F"/>
    <w:rsid w:val="0078522C"/>
    <w:rsid w:val="007937C3"/>
    <w:rsid w:val="0079670E"/>
    <w:rsid w:val="007972F4"/>
    <w:rsid w:val="007B0EEC"/>
    <w:rsid w:val="007B4716"/>
    <w:rsid w:val="007C1FAD"/>
    <w:rsid w:val="007D089E"/>
    <w:rsid w:val="007D5BBB"/>
    <w:rsid w:val="00800FED"/>
    <w:rsid w:val="0086321B"/>
    <w:rsid w:val="008712E6"/>
    <w:rsid w:val="008B0468"/>
    <w:rsid w:val="008E7FD7"/>
    <w:rsid w:val="008F24DC"/>
    <w:rsid w:val="008F670E"/>
    <w:rsid w:val="0090542C"/>
    <w:rsid w:val="00906248"/>
    <w:rsid w:val="00921905"/>
    <w:rsid w:val="00957092"/>
    <w:rsid w:val="00980539"/>
    <w:rsid w:val="00980DDB"/>
    <w:rsid w:val="009821DA"/>
    <w:rsid w:val="009831F5"/>
    <w:rsid w:val="00993E96"/>
    <w:rsid w:val="009B6D62"/>
    <w:rsid w:val="00A17876"/>
    <w:rsid w:val="00A2401A"/>
    <w:rsid w:val="00A4339A"/>
    <w:rsid w:val="00A50495"/>
    <w:rsid w:val="00A55176"/>
    <w:rsid w:val="00A5738B"/>
    <w:rsid w:val="00A77134"/>
    <w:rsid w:val="00A83B19"/>
    <w:rsid w:val="00AB48A7"/>
    <w:rsid w:val="00B05206"/>
    <w:rsid w:val="00B11928"/>
    <w:rsid w:val="00B3671F"/>
    <w:rsid w:val="00B37CB3"/>
    <w:rsid w:val="00B42970"/>
    <w:rsid w:val="00B46D0D"/>
    <w:rsid w:val="00B87442"/>
    <w:rsid w:val="00BF511D"/>
    <w:rsid w:val="00BF7E99"/>
    <w:rsid w:val="00C11D92"/>
    <w:rsid w:val="00C26CEC"/>
    <w:rsid w:val="00C32DCA"/>
    <w:rsid w:val="00C43DC0"/>
    <w:rsid w:val="00C4625F"/>
    <w:rsid w:val="00C53FE5"/>
    <w:rsid w:val="00C6051F"/>
    <w:rsid w:val="00C66B04"/>
    <w:rsid w:val="00C73A85"/>
    <w:rsid w:val="00C83C31"/>
    <w:rsid w:val="00C83D22"/>
    <w:rsid w:val="00CA3E38"/>
    <w:rsid w:val="00CA7124"/>
    <w:rsid w:val="00CD2B64"/>
    <w:rsid w:val="00D017E8"/>
    <w:rsid w:val="00D169D4"/>
    <w:rsid w:val="00D2366A"/>
    <w:rsid w:val="00D3447C"/>
    <w:rsid w:val="00D458A0"/>
    <w:rsid w:val="00D51DBA"/>
    <w:rsid w:val="00D771D8"/>
    <w:rsid w:val="00DB0AF6"/>
    <w:rsid w:val="00DB14DB"/>
    <w:rsid w:val="00DB5B30"/>
    <w:rsid w:val="00DE54EE"/>
    <w:rsid w:val="00DE63FB"/>
    <w:rsid w:val="00DE6A4A"/>
    <w:rsid w:val="00DF28DF"/>
    <w:rsid w:val="00E1119E"/>
    <w:rsid w:val="00E13CD3"/>
    <w:rsid w:val="00E16454"/>
    <w:rsid w:val="00E42D0B"/>
    <w:rsid w:val="00E458F2"/>
    <w:rsid w:val="00E536A8"/>
    <w:rsid w:val="00E60DE8"/>
    <w:rsid w:val="00E65D32"/>
    <w:rsid w:val="00E9417D"/>
    <w:rsid w:val="00EB320F"/>
    <w:rsid w:val="00EB5D8F"/>
    <w:rsid w:val="00EB67EA"/>
    <w:rsid w:val="00EC594B"/>
    <w:rsid w:val="00ED646E"/>
    <w:rsid w:val="00EE7FCC"/>
    <w:rsid w:val="00EF05A7"/>
    <w:rsid w:val="00F260B3"/>
    <w:rsid w:val="00F3320B"/>
    <w:rsid w:val="00F56843"/>
    <w:rsid w:val="00F92611"/>
    <w:rsid w:val="00FB1404"/>
    <w:rsid w:val="00FB5C9A"/>
    <w:rsid w:val="00FD1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18AD20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D62"/>
    <w:pPr>
      <w:widowControl w:val="0"/>
      <w:kinsoku w:val="0"/>
    </w:pPr>
    <w:rPr>
      <w:sz w:val="24"/>
      <w:szCs w:val="24"/>
    </w:rPr>
  </w:style>
  <w:style w:type="paragraph" w:styleId="Heading1">
    <w:name w:val="heading 1"/>
    <w:basedOn w:val="Normal"/>
    <w:next w:val="Normal"/>
    <w:qFormat/>
    <w:rsid w:val="000D70B6"/>
    <w:pPr>
      <w:keepNext/>
      <w:widowControl/>
      <w:numPr>
        <w:numId w:val="9"/>
      </w:numPr>
      <w:kinsoku/>
      <w:spacing w:before="120" w:after="240"/>
      <w:jc w:val="center"/>
      <w:outlineLvl w:val="0"/>
    </w:pPr>
    <w:rPr>
      <w:rFonts w:cs="Arial"/>
      <w:b/>
      <w:bCs/>
      <w:kern w:val="32"/>
      <w:sz w:val="28"/>
      <w:szCs w:val="32"/>
    </w:rPr>
  </w:style>
  <w:style w:type="paragraph" w:styleId="Heading2">
    <w:name w:val="heading 2"/>
    <w:basedOn w:val="Normal"/>
    <w:next w:val="Normal"/>
    <w:link w:val="Heading2Char"/>
    <w:qFormat/>
    <w:rsid w:val="000D70B6"/>
    <w:pPr>
      <w:keepNext/>
      <w:widowControl/>
      <w:numPr>
        <w:ilvl w:val="1"/>
        <w:numId w:val="9"/>
      </w:numPr>
      <w:tabs>
        <w:tab w:val="clear" w:pos="5760"/>
        <w:tab w:val="left" w:pos="1800"/>
        <w:tab w:val="num" w:pos="2160"/>
      </w:tabs>
      <w:kinsoku/>
      <w:spacing w:after="240"/>
      <w:ind w:left="0"/>
      <w:jc w:val="both"/>
      <w:outlineLvl w:val="1"/>
    </w:pPr>
    <w:rPr>
      <w:rFonts w:ascii="Times New Roman Bold" w:hAnsi="Times New Roman Bold" w:cs="Arial"/>
      <w:b/>
      <w:bCs/>
      <w:iCs/>
      <w:szCs w:val="28"/>
    </w:rPr>
  </w:style>
  <w:style w:type="paragraph" w:styleId="Heading3">
    <w:name w:val="heading 3"/>
    <w:basedOn w:val="Normal"/>
    <w:next w:val="Normal"/>
    <w:link w:val="Heading3Char"/>
    <w:semiHidden/>
    <w:unhideWhenUsed/>
    <w:qFormat/>
    <w:rsid w:val="005C6D7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83B19"/>
    <w:pPr>
      <w:widowControl/>
      <w:kinsoku/>
      <w:autoSpaceDE w:val="0"/>
      <w:autoSpaceDN w:val="0"/>
      <w:adjustRightInd w:val="0"/>
      <w:ind w:firstLine="720"/>
      <w:jc w:val="both"/>
    </w:pPr>
    <w:rPr>
      <w:rFonts w:ascii="CG Times" w:hAnsi="CG Times"/>
    </w:rPr>
  </w:style>
  <w:style w:type="paragraph" w:styleId="Header">
    <w:name w:val="header"/>
    <w:basedOn w:val="Normal"/>
    <w:link w:val="HeaderChar"/>
    <w:rsid w:val="00980539"/>
    <w:pPr>
      <w:tabs>
        <w:tab w:val="center" w:pos="4320"/>
        <w:tab w:val="right" w:pos="8640"/>
      </w:tabs>
    </w:pPr>
  </w:style>
  <w:style w:type="paragraph" w:styleId="Footer">
    <w:name w:val="footer"/>
    <w:basedOn w:val="Normal"/>
    <w:link w:val="FooterChar"/>
    <w:rsid w:val="00980539"/>
    <w:pPr>
      <w:tabs>
        <w:tab w:val="center" w:pos="4320"/>
        <w:tab w:val="right" w:pos="8640"/>
      </w:tabs>
    </w:pPr>
  </w:style>
  <w:style w:type="character" w:styleId="PageNumber">
    <w:name w:val="page number"/>
    <w:basedOn w:val="DefaultParagraphFont"/>
    <w:rsid w:val="00980539"/>
  </w:style>
  <w:style w:type="table" w:styleId="TableGrid">
    <w:name w:val="Table Grid"/>
    <w:basedOn w:val="TableNormal"/>
    <w:rsid w:val="00980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11928"/>
    <w:rPr>
      <w:rFonts w:ascii="Tahoma" w:hAnsi="Tahoma" w:cs="Tahoma"/>
      <w:sz w:val="16"/>
      <w:szCs w:val="16"/>
    </w:rPr>
  </w:style>
  <w:style w:type="paragraph" w:styleId="BodyText2">
    <w:name w:val="Body Text 2"/>
    <w:basedOn w:val="Normal"/>
    <w:rsid w:val="005612A7"/>
    <w:pPr>
      <w:spacing w:after="120" w:line="480" w:lineRule="auto"/>
    </w:pPr>
  </w:style>
  <w:style w:type="character" w:customStyle="1" w:styleId="Heading2Char">
    <w:name w:val="Heading 2 Char"/>
    <w:link w:val="Heading2"/>
    <w:rsid w:val="000D70B6"/>
    <w:rPr>
      <w:rFonts w:ascii="Times New Roman Bold" w:hAnsi="Times New Roman Bold" w:cs="Arial"/>
      <w:b/>
      <w:bCs/>
      <w:iCs/>
      <w:sz w:val="24"/>
      <w:szCs w:val="28"/>
      <w:lang w:val="en-US" w:eastAsia="en-US" w:bidi="ar-SA"/>
    </w:rPr>
  </w:style>
  <w:style w:type="character" w:customStyle="1" w:styleId="Heading3Char">
    <w:name w:val="Heading 3 Char"/>
    <w:link w:val="Heading3"/>
    <w:semiHidden/>
    <w:rsid w:val="005C6D7E"/>
    <w:rPr>
      <w:rFonts w:ascii="Cambria" w:eastAsia="Times New Roman" w:hAnsi="Cambria" w:cs="Times New Roman"/>
      <w:b/>
      <w:bCs/>
      <w:sz w:val="26"/>
      <w:szCs w:val="26"/>
    </w:rPr>
  </w:style>
  <w:style w:type="paragraph" w:styleId="NormalWeb">
    <w:name w:val="Normal (Web)"/>
    <w:basedOn w:val="Normal"/>
    <w:uiPriority w:val="99"/>
    <w:unhideWhenUsed/>
    <w:rsid w:val="005C6D7E"/>
    <w:pPr>
      <w:widowControl/>
      <w:kinsoku/>
      <w:spacing w:before="100" w:beforeAutospacing="1" w:after="100" w:afterAutospacing="1"/>
    </w:pPr>
    <w:rPr>
      <w:rFonts w:eastAsia="Calibri"/>
    </w:rPr>
  </w:style>
  <w:style w:type="paragraph" w:styleId="ListParagraph">
    <w:name w:val="List Paragraph"/>
    <w:basedOn w:val="Normal"/>
    <w:uiPriority w:val="34"/>
    <w:qFormat/>
    <w:rsid w:val="004B08DB"/>
    <w:pPr>
      <w:ind w:left="720"/>
      <w:contextualSpacing/>
    </w:pPr>
  </w:style>
  <w:style w:type="character" w:customStyle="1" w:styleId="HeaderChar">
    <w:name w:val="Header Char"/>
    <w:basedOn w:val="DefaultParagraphFont"/>
    <w:link w:val="Header"/>
    <w:rsid w:val="007226BF"/>
    <w:rPr>
      <w:sz w:val="24"/>
      <w:szCs w:val="24"/>
    </w:rPr>
  </w:style>
  <w:style w:type="character" w:customStyle="1" w:styleId="FooterChar">
    <w:name w:val="Footer Char"/>
    <w:basedOn w:val="DefaultParagraphFont"/>
    <w:link w:val="Footer"/>
    <w:rsid w:val="007226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0991">
      <w:bodyDiv w:val="1"/>
      <w:marLeft w:val="0"/>
      <w:marRight w:val="0"/>
      <w:marTop w:val="0"/>
      <w:marBottom w:val="0"/>
      <w:divBdr>
        <w:top w:val="none" w:sz="0" w:space="0" w:color="auto"/>
        <w:left w:val="none" w:sz="0" w:space="0" w:color="auto"/>
        <w:bottom w:val="none" w:sz="0" w:space="0" w:color="auto"/>
        <w:right w:val="none" w:sz="0" w:space="0" w:color="auto"/>
      </w:divBdr>
    </w:div>
    <w:div w:id="123472190">
      <w:bodyDiv w:val="1"/>
      <w:marLeft w:val="0"/>
      <w:marRight w:val="0"/>
      <w:marTop w:val="0"/>
      <w:marBottom w:val="0"/>
      <w:divBdr>
        <w:top w:val="none" w:sz="0" w:space="0" w:color="auto"/>
        <w:left w:val="none" w:sz="0" w:space="0" w:color="auto"/>
        <w:bottom w:val="none" w:sz="0" w:space="0" w:color="auto"/>
        <w:right w:val="none" w:sz="0" w:space="0" w:color="auto"/>
      </w:divBdr>
    </w:div>
    <w:div w:id="477920857">
      <w:bodyDiv w:val="1"/>
      <w:marLeft w:val="0"/>
      <w:marRight w:val="0"/>
      <w:marTop w:val="0"/>
      <w:marBottom w:val="0"/>
      <w:divBdr>
        <w:top w:val="none" w:sz="0" w:space="0" w:color="auto"/>
        <w:left w:val="none" w:sz="0" w:space="0" w:color="auto"/>
        <w:bottom w:val="none" w:sz="0" w:space="0" w:color="auto"/>
        <w:right w:val="none" w:sz="0" w:space="0" w:color="auto"/>
      </w:divBdr>
    </w:div>
    <w:div w:id="535196888">
      <w:bodyDiv w:val="1"/>
      <w:marLeft w:val="0"/>
      <w:marRight w:val="0"/>
      <w:marTop w:val="0"/>
      <w:marBottom w:val="0"/>
      <w:divBdr>
        <w:top w:val="none" w:sz="0" w:space="0" w:color="auto"/>
        <w:left w:val="none" w:sz="0" w:space="0" w:color="auto"/>
        <w:bottom w:val="none" w:sz="0" w:space="0" w:color="auto"/>
        <w:right w:val="none" w:sz="0" w:space="0" w:color="auto"/>
      </w:divBdr>
    </w:div>
    <w:div w:id="604505961">
      <w:bodyDiv w:val="1"/>
      <w:marLeft w:val="0"/>
      <w:marRight w:val="0"/>
      <w:marTop w:val="0"/>
      <w:marBottom w:val="0"/>
      <w:divBdr>
        <w:top w:val="none" w:sz="0" w:space="0" w:color="auto"/>
        <w:left w:val="none" w:sz="0" w:space="0" w:color="auto"/>
        <w:bottom w:val="none" w:sz="0" w:space="0" w:color="auto"/>
        <w:right w:val="none" w:sz="0" w:space="0" w:color="auto"/>
      </w:divBdr>
    </w:div>
    <w:div w:id="116065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1805</Words>
  <Characters>9655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6232.SingleCapPurchaser</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6232.SingleCapPurchaser</dc:title>
  <dc:subject>Modifications to Multifamily Loan and Security Agreement (Co-Tenants - Single Cap Purchaser)</dc:subject>
  <dc:creator/>
  <cp:keywords/>
  <cp:lastModifiedBy/>
  <cp:revision>1</cp:revision>
  <dcterms:created xsi:type="dcterms:W3CDTF">2023-11-14T17:41:00Z</dcterms:created>
  <dcterms:modified xsi:type="dcterms:W3CDTF">2023-11-14T17:43:00Z</dcterms:modified>
</cp:coreProperties>
</file>