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A03" w:rsidRPr="008A0BF0" w:rsidRDefault="00277A03" w:rsidP="00943A6A">
      <w:pPr>
        <w:tabs>
          <w:tab w:val="center" w:pos="4680"/>
        </w:tabs>
        <w:suppressAutoHyphens/>
        <w:spacing w:after="240"/>
        <w:jc w:val="center"/>
        <w:rPr>
          <w:b/>
          <w:spacing w:val="-2"/>
          <w:szCs w:val="24"/>
        </w:rPr>
      </w:pPr>
      <w:bookmarkStart w:id="0" w:name="_GoBack"/>
      <w:bookmarkEnd w:id="0"/>
      <w:r w:rsidRPr="008A0BF0">
        <w:rPr>
          <w:b/>
          <w:spacing w:val="-2"/>
          <w:szCs w:val="24"/>
        </w:rPr>
        <w:t>EXHIBIT [___]</w:t>
      </w:r>
    </w:p>
    <w:p w:rsidR="00277A03" w:rsidRPr="008A0BF0" w:rsidRDefault="00277A03" w:rsidP="00943A6A">
      <w:pPr>
        <w:tabs>
          <w:tab w:val="center" w:pos="4680"/>
        </w:tabs>
        <w:suppressAutoHyphens/>
        <w:jc w:val="center"/>
        <w:rPr>
          <w:spacing w:val="-2"/>
          <w:szCs w:val="24"/>
        </w:rPr>
      </w:pPr>
      <w:r w:rsidRPr="008A0BF0">
        <w:rPr>
          <w:b/>
          <w:spacing w:val="-2"/>
          <w:szCs w:val="24"/>
        </w:rPr>
        <w:t xml:space="preserve">MODIFICATIONS TO </w:t>
      </w:r>
      <w:r w:rsidR="00C45ADC" w:rsidRPr="008A0BF0">
        <w:rPr>
          <w:b/>
          <w:spacing w:val="-2"/>
          <w:szCs w:val="24"/>
        </w:rPr>
        <w:t xml:space="preserve">MULTIFAMILY </w:t>
      </w:r>
      <w:r w:rsidRPr="008A0BF0">
        <w:rPr>
          <w:b/>
          <w:spacing w:val="-2"/>
          <w:szCs w:val="24"/>
        </w:rPr>
        <w:t>LOAN AND SECURITY AGREEMENT</w:t>
      </w:r>
    </w:p>
    <w:p w:rsidR="00277A03" w:rsidRPr="008A0BF0" w:rsidRDefault="00277A03" w:rsidP="00943A6A">
      <w:pPr>
        <w:tabs>
          <w:tab w:val="center" w:pos="4680"/>
        </w:tabs>
        <w:suppressAutoHyphens/>
        <w:spacing w:after="360"/>
        <w:jc w:val="center"/>
        <w:rPr>
          <w:b/>
          <w:spacing w:val="-2"/>
          <w:szCs w:val="24"/>
        </w:rPr>
      </w:pPr>
      <w:r w:rsidRPr="008A0BF0">
        <w:rPr>
          <w:b/>
          <w:spacing w:val="-2"/>
          <w:szCs w:val="24"/>
        </w:rPr>
        <w:t>(Replacement Reserve – Alternate Funding)</w:t>
      </w:r>
    </w:p>
    <w:p w:rsidR="00CB619F" w:rsidRPr="008A0BF0" w:rsidRDefault="00CB619F" w:rsidP="00B46E73">
      <w:pPr>
        <w:tabs>
          <w:tab w:val="left" w:pos="-720"/>
        </w:tabs>
        <w:suppressAutoHyphens/>
        <w:spacing w:after="240"/>
        <w:ind w:firstLine="720"/>
        <w:jc w:val="both"/>
        <w:rPr>
          <w:szCs w:val="24"/>
        </w:rPr>
      </w:pPr>
      <w:r w:rsidRPr="008A0BF0">
        <w:rPr>
          <w:szCs w:val="24"/>
        </w:rPr>
        <w:t>The foregoing Loan Agreement is hereby modified as follows:</w:t>
      </w:r>
    </w:p>
    <w:p w:rsidR="00CB619F" w:rsidRPr="008A0BF0" w:rsidRDefault="00CB619F" w:rsidP="00CB619F">
      <w:pPr>
        <w:numPr>
          <w:ilvl w:val="0"/>
          <w:numId w:val="5"/>
        </w:numPr>
        <w:tabs>
          <w:tab w:val="clear" w:pos="1440"/>
          <w:tab w:val="left" w:pos="-720"/>
        </w:tabs>
        <w:suppressAutoHyphens/>
        <w:spacing w:after="240"/>
        <w:ind w:left="0" w:firstLine="720"/>
        <w:jc w:val="both"/>
      </w:pPr>
      <w:r w:rsidRPr="008A0BF0">
        <w:t>Capitalized terms used and not specifically defined herein have the meanings given to such terms in the Loan Agreement.</w:t>
      </w:r>
    </w:p>
    <w:p w:rsidR="00CB619F" w:rsidRPr="008A0BF0" w:rsidRDefault="00CB619F" w:rsidP="00CB619F">
      <w:pPr>
        <w:numPr>
          <w:ilvl w:val="0"/>
          <w:numId w:val="5"/>
        </w:numPr>
        <w:tabs>
          <w:tab w:val="clear" w:pos="1440"/>
          <w:tab w:val="left" w:pos="-720"/>
        </w:tabs>
        <w:suppressAutoHyphens/>
        <w:spacing w:after="240"/>
        <w:ind w:left="0" w:firstLine="720"/>
        <w:jc w:val="both"/>
      </w:pPr>
      <w:r w:rsidRPr="008A0BF0">
        <w:t>The Definitions Schedule is hereby amended by adding the following new definitions in the appropriate alphabetical order:</w:t>
      </w:r>
    </w:p>
    <w:p w:rsidR="00943A6A" w:rsidRPr="008A0BF0" w:rsidRDefault="002C2680" w:rsidP="00943A6A">
      <w:pPr>
        <w:tabs>
          <w:tab w:val="left" w:pos="-720"/>
        </w:tabs>
        <w:suppressAutoHyphens/>
        <w:spacing w:after="240"/>
        <w:ind w:left="720" w:right="720"/>
        <w:jc w:val="both"/>
        <w:rPr>
          <w:szCs w:val="24"/>
        </w:rPr>
      </w:pPr>
      <w:r w:rsidRPr="008A0BF0">
        <w:rPr>
          <w:szCs w:val="24"/>
        </w:rPr>
        <w:t>“</w:t>
      </w:r>
      <w:r w:rsidRPr="008A0BF0">
        <w:rPr>
          <w:b/>
          <w:szCs w:val="24"/>
        </w:rPr>
        <w:t>Alternate Funding Replacement Reserve Deposit</w:t>
      </w:r>
      <w:r w:rsidRPr="008A0BF0">
        <w:rPr>
          <w:szCs w:val="24"/>
        </w:rPr>
        <w:t>” ha</w:t>
      </w:r>
      <w:r w:rsidR="00CB619F" w:rsidRPr="008A0BF0">
        <w:rPr>
          <w:szCs w:val="24"/>
        </w:rPr>
        <w:t>s</w:t>
      </w:r>
      <w:r w:rsidRPr="008A0BF0">
        <w:rPr>
          <w:szCs w:val="24"/>
        </w:rPr>
        <w:t xml:space="preserve"> the meaning set forth in the Summary of Loan Terms.</w:t>
      </w:r>
    </w:p>
    <w:p w:rsidR="00204242" w:rsidRPr="008A0BF0" w:rsidRDefault="00204242" w:rsidP="00943A6A">
      <w:pPr>
        <w:tabs>
          <w:tab w:val="left" w:pos="-720"/>
        </w:tabs>
        <w:suppressAutoHyphens/>
        <w:spacing w:after="240"/>
        <w:ind w:left="720" w:right="720"/>
        <w:jc w:val="both"/>
        <w:rPr>
          <w:spacing w:val="-3"/>
        </w:rPr>
      </w:pPr>
      <w:r w:rsidRPr="008A0BF0">
        <w:rPr>
          <w:szCs w:val="24"/>
        </w:rPr>
        <w:t>“</w:t>
      </w:r>
      <w:r w:rsidRPr="008A0BF0">
        <w:rPr>
          <w:b/>
          <w:szCs w:val="24"/>
        </w:rPr>
        <w:t>Reduced Monthly Replacement Reserve Deposit</w:t>
      </w:r>
      <w:r w:rsidRPr="008A0BF0">
        <w:rPr>
          <w:szCs w:val="24"/>
        </w:rPr>
        <w:t xml:space="preserve">” </w:t>
      </w:r>
      <w:r w:rsidR="00CB619F" w:rsidRPr="008A0BF0">
        <w:rPr>
          <w:szCs w:val="24"/>
        </w:rPr>
        <w:t xml:space="preserve">has </w:t>
      </w:r>
      <w:r w:rsidRPr="008A0BF0">
        <w:rPr>
          <w:szCs w:val="24"/>
        </w:rPr>
        <w:t>the meaning set forth in the Summary of Loan Terms.</w:t>
      </w:r>
    </w:p>
    <w:p w:rsidR="002C2680" w:rsidRPr="008A0BF0" w:rsidRDefault="002D7C61" w:rsidP="00943A6A">
      <w:pPr>
        <w:numPr>
          <w:ilvl w:val="0"/>
          <w:numId w:val="5"/>
        </w:numPr>
        <w:tabs>
          <w:tab w:val="clear" w:pos="1440"/>
          <w:tab w:val="left" w:pos="-720"/>
        </w:tabs>
        <w:suppressAutoHyphens/>
        <w:spacing w:after="240"/>
        <w:ind w:left="0" w:firstLine="720"/>
        <w:jc w:val="both"/>
        <w:rPr>
          <w:spacing w:val="-3"/>
        </w:rPr>
      </w:pPr>
      <w:r w:rsidRPr="008A0BF0">
        <w:rPr>
          <w:spacing w:val="-3"/>
        </w:rPr>
        <w:t>Section </w:t>
      </w:r>
      <w:r w:rsidR="002C2680" w:rsidRPr="008A0BF0">
        <w:rPr>
          <w:spacing w:val="-3"/>
        </w:rPr>
        <w:t>13.01(a)</w:t>
      </w:r>
      <w:r w:rsidR="001C6034" w:rsidRPr="008A0BF0">
        <w:rPr>
          <w:spacing w:val="-3"/>
        </w:rPr>
        <w:t>(1)</w:t>
      </w:r>
      <w:r w:rsidR="002D58F3">
        <w:rPr>
          <w:spacing w:val="-3"/>
        </w:rPr>
        <w:t>(A)</w:t>
      </w:r>
      <w:r w:rsidR="002C2680" w:rsidRPr="008A0BF0">
        <w:rPr>
          <w:spacing w:val="-3"/>
        </w:rPr>
        <w:t xml:space="preserve"> (</w:t>
      </w:r>
      <w:r w:rsidR="00CB619F" w:rsidRPr="008A0BF0">
        <w:rPr>
          <w:spacing w:val="-3"/>
        </w:rPr>
        <w:t>Initial Deposits to Replacement Reserve Account</w:t>
      </w:r>
      <w:r w:rsidR="002D58F3">
        <w:rPr>
          <w:spacing w:val="-3"/>
        </w:rPr>
        <w:t>,</w:t>
      </w:r>
      <w:r w:rsidR="00CB619F" w:rsidRPr="008A0BF0">
        <w:rPr>
          <w:spacing w:val="-3"/>
        </w:rPr>
        <w:t xml:space="preserve"> Repairs Escrow Account</w:t>
      </w:r>
      <w:r w:rsidR="002D58F3">
        <w:rPr>
          <w:spacing w:val="-3"/>
        </w:rPr>
        <w:t>, and Restoration Reserve Account</w:t>
      </w:r>
      <w:r w:rsidR="002C2680" w:rsidRPr="008A0BF0">
        <w:rPr>
          <w:spacing w:val="-3"/>
        </w:rPr>
        <w:t xml:space="preserve">) of the </w:t>
      </w:r>
      <w:r w:rsidR="00C322B1" w:rsidRPr="008A0BF0">
        <w:rPr>
          <w:spacing w:val="-3"/>
        </w:rPr>
        <w:t xml:space="preserve">Loan </w:t>
      </w:r>
      <w:r w:rsidR="002C2680" w:rsidRPr="008A0BF0">
        <w:rPr>
          <w:spacing w:val="-3"/>
        </w:rPr>
        <w:t xml:space="preserve">Agreement is hereby </w:t>
      </w:r>
      <w:r w:rsidR="00792A90" w:rsidRPr="008A0BF0">
        <w:rPr>
          <w:spacing w:val="-3"/>
        </w:rPr>
        <w:t>amended and restated as follows</w:t>
      </w:r>
      <w:r w:rsidR="002C2680" w:rsidRPr="008A0BF0">
        <w:rPr>
          <w:spacing w:val="-3"/>
        </w:rPr>
        <w:t>:</w:t>
      </w:r>
    </w:p>
    <w:p w:rsidR="001C6034" w:rsidRPr="008A0BF0" w:rsidRDefault="002D58F3" w:rsidP="002D58F3">
      <w:pPr>
        <w:tabs>
          <w:tab w:val="left" w:pos="-720"/>
        </w:tabs>
        <w:suppressAutoHyphens/>
        <w:spacing w:after="240"/>
        <w:ind w:left="2160" w:right="720"/>
        <w:jc w:val="both"/>
        <w:rPr>
          <w:spacing w:val="-3"/>
        </w:rPr>
      </w:pPr>
      <w:r>
        <w:rPr>
          <w:spacing w:val="-3"/>
        </w:rPr>
        <w:tab/>
      </w:r>
      <w:r w:rsidR="001C6034" w:rsidRPr="008A0BF0">
        <w:rPr>
          <w:spacing w:val="-3"/>
        </w:rPr>
        <w:t>(</w:t>
      </w:r>
      <w:r>
        <w:rPr>
          <w:spacing w:val="-3"/>
        </w:rPr>
        <w:t>A</w:t>
      </w:r>
      <w:r w:rsidR="001C6034" w:rsidRPr="008A0BF0">
        <w:rPr>
          <w:spacing w:val="-3"/>
        </w:rPr>
        <w:t>)</w:t>
      </w:r>
      <w:r w:rsidR="00C322B1" w:rsidRPr="008A0BF0">
        <w:rPr>
          <w:spacing w:val="-3"/>
        </w:rPr>
        <w:tab/>
      </w:r>
      <w:r w:rsidR="001C6034" w:rsidRPr="008A0BF0">
        <w:rPr>
          <w:spacing w:val="-3"/>
        </w:rPr>
        <w:t xml:space="preserve">the [Initial Replacement Reserve Deposit] </w:t>
      </w:r>
      <w:r w:rsidR="001C6034" w:rsidRPr="008A0BF0">
        <w:rPr>
          <w:b/>
          <w:spacing w:val="-3"/>
        </w:rPr>
        <w:t xml:space="preserve">and/or </w:t>
      </w:r>
      <w:r w:rsidR="001C6034" w:rsidRPr="008A0BF0">
        <w:rPr>
          <w:spacing w:val="-3"/>
        </w:rPr>
        <w:t>[</w:t>
      </w:r>
      <w:r w:rsidR="001C6034" w:rsidRPr="008A0BF0">
        <w:rPr>
          <w:szCs w:val="24"/>
        </w:rPr>
        <w:t>Alternate Funding Replacement Reserve Deposit]</w:t>
      </w:r>
      <w:r w:rsidR="001C6034" w:rsidRPr="008A0BF0">
        <w:rPr>
          <w:spacing w:val="-3"/>
        </w:rPr>
        <w:t xml:space="preserve"> for deposit into the Replacement Reserve Account; and</w:t>
      </w:r>
    </w:p>
    <w:p w:rsidR="00204242" w:rsidRPr="008A0BF0" w:rsidRDefault="00C322B1" w:rsidP="00943A6A">
      <w:pPr>
        <w:numPr>
          <w:ilvl w:val="0"/>
          <w:numId w:val="5"/>
        </w:numPr>
        <w:tabs>
          <w:tab w:val="clear" w:pos="1440"/>
        </w:tabs>
        <w:suppressAutoHyphens/>
        <w:spacing w:after="240"/>
        <w:ind w:left="0" w:firstLine="720"/>
        <w:jc w:val="both"/>
        <w:rPr>
          <w:spacing w:val="-3"/>
        </w:rPr>
      </w:pPr>
      <w:bookmarkStart w:id="1" w:name="OLE_LINK1"/>
      <w:bookmarkStart w:id="2" w:name="OLE_LINK2"/>
      <w:r w:rsidRPr="008A0BF0">
        <w:rPr>
          <w:spacing w:val="-3"/>
        </w:rPr>
        <w:t>Section</w:t>
      </w:r>
      <w:r w:rsidR="002D7C61" w:rsidRPr="008A0BF0">
        <w:rPr>
          <w:spacing w:val="-3"/>
        </w:rPr>
        <w:t> </w:t>
      </w:r>
      <w:r w:rsidR="00204242" w:rsidRPr="008A0BF0">
        <w:rPr>
          <w:spacing w:val="-3"/>
        </w:rPr>
        <w:t>13.01(b) (</w:t>
      </w:r>
      <w:r w:rsidRPr="008A0BF0">
        <w:rPr>
          <w:spacing w:val="-3"/>
        </w:rPr>
        <w:t>Monthly Replacement Reserve Deposits</w:t>
      </w:r>
      <w:r w:rsidR="00204242" w:rsidRPr="008A0BF0">
        <w:rPr>
          <w:spacing w:val="-3"/>
        </w:rPr>
        <w:t xml:space="preserve">) of the </w:t>
      </w:r>
      <w:r w:rsidRPr="008A0BF0">
        <w:rPr>
          <w:spacing w:val="-3"/>
        </w:rPr>
        <w:t xml:space="preserve">Loan </w:t>
      </w:r>
      <w:r w:rsidR="00204242" w:rsidRPr="008A0BF0">
        <w:rPr>
          <w:spacing w:val="-3"/>
        </w:rPr>
        <w:t>Agreement is hereby amended by adding the following provisions to the end thereof:</w:t>
      </w:r>
    </w:p>
    <w:bookmarkEnd w:id="1"/>
    <w:bookmarkEnd w:id="2"/>
    <w:p w:rsidR="00943A6A" w:rsidRPr="008A0BF0" w:rsidRDefault="00204242" w:rsidP="00943A6A">
      <w:pPr>
        <w:keepNext/>
        <w:tabs>
          <w:tab w:val="left" w:pos="-720"/>
        </w:tabs>
        <w:suppressAutoHyphens/>
        <w:spacing w:after="240"/>
        <w:ind w:left="1440" w:right="720" w:firstLine="720"/>
        <w:jc w:val="both"/>
        <w:rPr>
          <w:spacing w:val="-3"/>
        </w:rPr>
      </w:pPr>
      <w:r w:rsidRPr="008A0BF0">
        <w:rPr>
          <w:b/>
          <w:spacing w:val="-3"/>
        </w:rPr>
        <w:t>(1)</w:t>
      </w:r>
      <w:r w:rsidRPr="008A0BF0">
        <w:rPr>
          <w:b/>
          <w:spacing w:val="-3"/>
        </w:rPr>
        <w:tab/>
        <w:t>Partial or Full Waiver of Monthly Replacement Reserve Deposit</w:t>
      </w:r>
      <w:r w:rsidRPr="008A0BF0">
        <w:rPr>
          <w:spacing w:val="-3"/>
        </w:rPr>
        <w:t>.</w:t>
      </w:r>
    </w:p>
    <w:p w:rsidR="001117C8" w:rsidRPr="008A0BF0" w:rsidRDefault="00204242" w:rsidP="00943A6A">
      <w:pPr>
        <w:spacing w:after="240"/>
        <w:ind w:left="1440" w:right="720" w:firstLine="720"/>
        <w:jc w:val="both"/>
      </w:pPr>
      <w:r w:rsidRPr="008A0BF0">
        <w:rPr>
          <w:spacing w:val="-3"/>
        </w:rPr>
        <w:t xml:space="preserve">Notwithstanding the foregoing or anything in this </w:t>
      </w:r>
      <w:r w:rsidR="007924B1" w:rsidRPr="008A0BF0">
        <w:rPr>
          <w:spacing w:val="-3"/>
        </w:rPr>
        <w:t xml:space="preserve">Loan </w:t>
      </w:r>
      <w:r w:rsidRPr="008A0BF0">
        <w:rPr>
          <w:spacing w:val="-3"/>
        </w:rPr>
        <w:t>Agreement to the contrary, o</w:t>
      </w:r>
      <w:r w:rsidRPr="008A0BF0">
        <w:t>n the Effective Date</w:t>
      </w:r>
      <w:r w:rsidR="00613B56" w:rsidRPr="008A0BF0">
        <w:t>,</w:t>
      </w:r>
      <w:r w:rsidRPr="008A0BF0">
        <w:t xml:space="preserve"> Lender has agreed to partially reduce, defer or fully waive Borrower’s obligation to make full Monthly Replacement Reserve Deposits.  Subject to the provisions of Section</w:t>
      </w:r>
      <w:r w:rsidR="00613B56" w:rsidRPr="008A0BF0">
        <w:t> </w:t>
      </w:r>
      <w:r w:rsidRPr="008A0BF0">
        <w:t>13.01(b</w:t>
      </w:r>
      <w:r w:rsidR="007924B1" w:rsidRPr="008A0BF0">
        <w:t>)</w:t>
      </w:r>
      <w:r w:rsidR="00CF0ADE" w:rsidRPr="008A0BF0">
        <w:t>(3)</w:t>
      </w:r>
      <w:r w:rsidR="000C3003" w:rsidRPr="008A0BF0">
        <w:t xml:space="preserve"> (</w:t>
      </w:r>
      <w:r w:rsidR="00CF0ADE" w:rsidRPr="008A0BF0">
        <w:t>Reinstatement of Monthly</w:t>
      </w:r>
      <w:r w:rsidR="000C3003" w:rsidRPr="008A0BF0">
        <w:t xml:space="preserve"> Replacem</w:t>
      </w:r>
      <w:r w:rsidR="00CF0ADE" w:rsidRPr="008A0BF0">
        <w:t>ent Reserve Deposit</w:t>
      </w:r>
      <w:r w:rsidR="000C3003" w:rsidRPr="008A0BF0">
        <w:t>)</w:t>
      </w:r>
      <w:r w:rsidRPr="008A0BF0">
        <w:t>, Borrower shall deposit the applicable Reduced Monthly Replacement Reserve Deposit into the Replacement Reserve Account on each Payment Date.</w:t>
      </w:r>
    </w:p>
    <w:p w:rsidR="00412D38" w:rsidRPr="008A0BF0" w:rsidRDefault="00412D38" w:rsidP="00943A6A">
      <w:pPr>
        <w:keepNext/>
        <w:spacing w:after="240"/>
        <w:ind w:left="1440" w:right="720" w:firstLine="720"/>
        <w:jc w:val="both"/>
      </w:pPr>
      <w:r w:rsidRPr="008A0BF0">
        <w:rPr>
          <w:b/>
        </w:rPr>
        <w:lastRenderedPageBreak/>
        <w:t>(2)</w:t>
      </w:r>
      <w:r w:rsidRPr="008A0BF0">
        <w:rPr>
          <w:b/>
        </w:rPr>
        <w:tab/>
        <w:t>Alternate Funding</w:t>
      </w:r>
      <w:r w:rsidRPr="008A0BF0">
        <w:t>.</w:t>
      </w:r>
    </w:p>
    <w:p w:rsidR="001117C8" w:rsidRPr="008A0BF0" w:rsidRDefault="001117C8" w:rsidP="00943A6A">
      <w:pPr>
        <w:spacing w:after="240"/>
        <w:ind w:left="2160" w:right="720" w:firstLine="720"/>
        <w:jc w:val="both"/>
      </w:pPr>
      <w:r w:rsidRPr="008A0BF0">
        <w:t>(</w:t>
      </w:r>
      <w:r w:rsidR="007924B1" w:rsidRPr="008A0BF0">
        <w:t>A</w:t>
      </w:r>
      <w:r w:rsidRPr="008A0BF0">
        <w:t>)</w:t>
      </w:r>
      <w:r w:rsidRPr="008A0BF0">
        <w:rPr>
          <w:b/>
        </w:rPr>
        <w:tab/>
      </w:r>
      <w:r w:rsidRPr="008A0BF0">
        <w:t xml:space="preserve">Notwithstanding any other provision of this </w:t>
      </w:r>
      <w:r w:rsidR="007924B1" w:rsidRPr="008A0BF0">
        <w:t xml:space="preserve">Loan </w:t>
      </w:r>
      <w:r w:rsidRPr="008A0BF0">
        <w:t xml:space="preserve">Agreement, and except as provided in </w:t>
      </w:r>
      <w:r w:rsidR="00613B56" w:rsidRPr="008A0BF0">
        <w:t>Section </w:t>
      </w:r>
      <w:r w:rsidR="007924B1" w:rsidRPr="008A0BF0">
        <w:t>13.01(b)(2)</w:t>
      </w:r>
      <w:r w:rsidRPr="008A0BF0">
        <w:t>(</w:t>
      </w:r>
      <w:r w:rsidR="007924B1" w:rsidRPr="008A0BF0">
        <w:t>B</w:t>
      </w:r>
      <w:r w:rsidRPr="008A0BF0">
        <w:t xml:space="preserve">) </w:t>
      </w:r>
      <w:r w:rsidR="007924B1" w:rsidRPr="008A0BF0">
        <w:t xml:space="preserve">(Alternate Funding) </w:t>
      </w:r>
      <w:r w:rsidR="00EB3860" w:rsidRPr="008A0BF0">
        <w:t xml:space="preserve">below: </w:t>
      </w:r>
      <w:r w:rsidRPr="008A0BF0">
        <w:t>(</w:t>
      </w:r>
      <w:r w:rsidR="006B0455" w:rsidRPr="008A0BF0">
        <w:t>i</w:t>
      </w:r>
      <w:r w:rsidR="002D7C61" w:rsidRPr="008A0BF0">
        <w:t>) </w:t>
      </w:r>
      <w:r w:rsidRPr="008A0BF0">
        <w:t xml:space="preserve">Borrower shall be responsible for paying all </w:t>
      </w:r>
      <w:r w:rsidR="006D6656" w:rsidRPr="008A0BF0">
        <w:t>R</w:t>
      </w:r>
      <w:r w:rsidRPr="008A0BF0">
        <w:t xml:space="preserve">eplacements </w:t>
      </w:r>
      <w:r w:rsidR="00412D38" w:rsidRPr="008A0BF0">
        <w:t xml:space="preserve">and any Borrower Requested Replacements and Additional Lender Replacements </w:t>
      </w:r>
      <w:r w:rsidRPr="008A0BF0">
        <w:t>out of the operating cash flow from the Mortgaged Property or from other sources</w:t>
      </w:r>
      <w:r w:rsidR="00613B56" w:rsidRPr="008A0BF0">
        <w:t>,</w:t>
      </w:r>
      <w:r w:rsidRPr="008A0BF0">
        <w:t xml:space="preserve"> and (</w:t>
      </w:r>
      <w:r w:rsidR="006B0455" w:rsidRPr="008A0BF0">
        <w:t>ii</w:t>
      </w:r>
      <w:r w:rsidR="002D7C61" w:rsidRPr="008A0BF0">
        <w:t>) </w:t>
      </w:r>
      <w:r w:rsidRPr="008A0BF0">
        <w:t xml:space="preserve">Lender shall have no obligation to make disbursements from the Replacement Reserve </w:t>
      </w:r>
      <w:r w:rsidR="006D6656" w:rsidRPr="008A0BF0">
        <w:t xml:space="preserve">Account </w:t>
      </w:r>
      <w:r w:rsidRPr="008A0BF0">
        <w:t xml:space="preserve">and Lender shall hold the Replacement Reserve </w:t>
      </w:r>
      <w:r w:rsidR="006D6656" w:rsidRPr="008A0BF0">
        <w:t>Deposit</w:t>
      </w:r>
      <w:r w:rsidR="00A35ACB" w:rsidRPr="008A0BF0">
        <w:t>s</w:t>
      </w:r>
      <w:r w:rsidR="006D6656" w:rsidRPr="008A0BF0">
        <w:t xml:space="preserve"> </w:t>
      </w:r>
      <w:r w:rsidRPr="008A0BF0">
        <w:t xml:space="preserve">for the </w:t>
      </w:r>
      <w:r w:rsidR="006D6656" w:rsidRPr="008A0BF0">
        <w:t>Loan T</w:t>
      </w:r>
      <w:r w:rsidRPr="008A0BF0">
        <w:t>erm and release such funds only after the Loan has been fully repaid and the lien of the Security Instrument has been released.</w:t>
      </w:r>
    </w:p>
    <w:p w:rsidR="001117C8" w:rsidRPr="008A0BF0" w:rsidRDefault="008E2F15" w:rsidP="00943A6A">
      <w:pPr>
        <w:spacing w:after="240"/>
        <w:ind w:left="2160" w:right="720" w:firstLine="720"/>
        <w:jc w:val="both"/>
      </w:pPr>
      <w:r w:rsidRPr="008A0BF0">
        <w:t>(</w:t>
      </w:r>
      <w:r w:rsidR="006B0455" w:rsidRPr="008A0BF0">
        <w:t>B</w:t>
      </w:r>
      <w:r w:rsidRPr="008A0BF0">
        <w:t>)</w:t>
      </w:r>
      <w:r w:rsidRPr="008A0BF0">
        <w:tab/>
      </w:r>
      <w:r w:rsidR="001117C8" w:rsidRPr="008A0BF0">
        <w:t xml:space="preserve">If Lender has identified substantial system replacements for which Borrower will be required to make </w:t>
      </w:r>
      <w:r w:rsidR="006D6656" w:rsidRPr="008A0BF0">
        <w:t>R</w:t>
      </w:r>
      <w:r w:rsidR="001117C8" w:rsidRPr="008A0BF0">
        <w:t xml:space="preserve">eplacement </w:t>
      </w:r>
      <w:r w:rsidR="006D6656" w:rsidRPr="008A0BF0">
        <w:t>R</w:t>
      </w:r>
      <w:r w:rsidR="001117C8" w:rsidRPr="008A0BF0">
        <w:t xml:space="preserve">eserve </w:t>
      </w:r>
      <w:r w:rsidR="006D6656" w:rsidRPr="008A0BF0">
        <w:t>D</w:t>
      </w:r>
      <w:r w:rsidR="001117C8" w:rsidRPr="008A0BF0">
        <w:t>eposits</w:t>
      </w:r>
      <w:r w:rsidR="001117C8" w:rsidRPr="008A0BF0">
        <w:rPr>
          <w:b/>
        </w:rPr>
        <w:t xml:space="preserve"> </w:t>
      </w:r>
      <w:r w:rsidR="001117C8" w:rsidRPr="008A0BF0">
        <w:t xml:space="preserve">with Lender (either as part of the Initial </w:t>
      </w:r>
      <w:r w:rsidR="006D6656" w:rsidRPr="008A0BF0">
        <w:t xml:space="preserve">Replacement Reserve </w:t>
      </w:r>
      <w:r w:rsidR="001117C8" w:rsidRPr="008A0BF0">
        <w:t xml:space="preserve">Deposit or through </w:t>
      </w:r>
      <w:r w:rsidR="006D6656" w:rsidRPr="008A0BF0">
        <w:t xml:space="preserve">the </w:t>
      </w:r>
      <w:r w:rsidR="001117C8" w:rsidRPr="008A0BF0">
        <w:t xml:space="preserve">Monthly </w:t>
      </w:r>
      <w:r w:rsidR="006D6656" w:rsidRPr="008A0BF0">
        <w:t>Replacement Reserve Deposit</w:t>
      </w:r>
      <w:r w:rsidR="001117C8" w:rsidRPr="008A0BF0">
        <w:t xml:space="preserve">), then Lender </w:t>
      </w:r>
      <w:r w:rsidR="00A35ACB" w:rsidRPr="008A0BF0">
        <w:t xml:space="preserve">will </w:t>
      </w:r>
      <w:r w:rsidR="001117C8" w:rsidRPr="008A0BF0">
        <w:t xml:space="preserve">make disbursements from the Replacement Reserve </w:t>
      </w:r>
      <w:r w:rsidR="006D6656" w:rsidRPr="008A0BF0">
        <w:t xml:space="preserve">Account </w:t>
      </w:r>
      <w:r w:rsidR="001117C8" w:rsidRPr="008A0BF0">
        <w:t xml:space="preserve">to reimburse Borrower for the costs of </w:t>
      </w:r>
      <w:r w:rsidR="001556DB" w:rsidRPr="008A0BF0">
        <w:t xml:space="preserve">the </w:t>
      </w:r>
      <w:r w:rsidR="001117C8" w:rsidRPr="008A0BF0">
        <w:t xml:space="preserve">Replacements and in accordance with the </w:t>
      </w:r>
      <w:r w:rsidR="00A35ACB" w:rsidRPr="008A0BF0">
        <w:t xml:space="preserve">provisions </w:t>
      </w:r>
      <w:r w:rsidR="006D6656" w:rsidRPr="008A0BF0">
        <w:t>of th</w:t>
      </w:r>
      <w:r w:rsidR="00731167" w:rsidRPr="008A0BF0">
        <w:t>is</w:t>
      </w:r>
      <w:r w:rsidR="006D6656" w:rsidRPr="008A0BF0">
        <w:t xml:space="preserve"> </w:t>
      </w:r>
      <w:r w:rsidR="006B0455" w:rsidRPr="008A0BF0">
        <w:t xml:space="preserve">Loan </w:t>
      </w:r>
      <w:r w:rsidR="006D6656" w:rsidRPr="008A0BF0">
        <w:t>Agreement</w:t>
      </w:r>
      <w:r w:rsidR="001117C8" w:rsidRPr="008A0BF0">
        <w:t>.</w:t>
      </w:r>
    </w:p>
    <w:p w:rsidR="00BC6F50" w:rsidRPr="008A0BF0" w:rsidRDefault="00BC6F50" w:rsidP="00943A6A">
      <w:pPr>
        <w:keepNext/>
        <w:spacing w:after="240"/>
        <w:ind w:left="1440" w:right="720" w:firstLine="720"/>
        <w:jc w:val="both"/>
        <w:rPr>
          <w:spacing w:val="-3"/>
        </w:rPr>
      </w:pPr>
      <w:r w:rsidRPr="008A0BF0">
        <w:rPr>
          <w:b/>
        </w:rPr>
        <w:t>(3</w:t>
      </w:r>
      <w:r w:rsidR="008E2F15" w:rsidRPr="008A0BF0">
        <w:rPr>
          <w:b/>
        </w:rPr>
        <w:t>)</w:t>
      </w:r>
      <w:r w:rsidR="008E2F15" w:rsidRPr="008A0BF0">
        <w:rPr>
          <w:b/>
        </w:rPr>
        <w:tab/>
      </w:r>
      <w:r w:rsidRPr="008A0BF0">
        <w:rPr>
          <w:b/>
        </w:rPr>
        <w:t>Reinstatement</w:t>
      </w:r>
      <w:r w:rsidRPr="008A0BF0">
        <w:t xml:space="preserve"> </w:t>
      </w:r>
      <w:r w:rsidRPr="008A0BF0">
        <w:rPr>
          <w:b/>
          <w:spacing w:val="-3"/>
        </w:rPr>
        <w:t>of Monthly Replacement Reserve Deposit</w:t>
      </w:r>
      <w:r w:rsidRPr="008A0BF0">
        <w:rPr>
          <w:spacing w:val="-3"/>
        </w:rPr>
        <w:t>.</w:t>
      </w:r>
    </w:p>
    <w:p w:rsidR="00943A6A" w:rsidRDefault="008E2F15" w:rsidP="00D6264F">
      <w:pPr>
        <w:spacing w:after="600"/>
        <w:ind w:left="1440" w:right="720" w:firstLine="720"/>
        <w:jc w:val="both"/>
      </w:pPr>
      <w:r w:rsidRPr="008A0BF0">
        <w:t>In the event that (A)</w:t>
      </w:r>
      <w:r w:rsidR="00613B56" w:rsidRPr="008A0BF0">
        <w:t> </w:t>
      </w:r>
      <w:r w:rsidRPr="008A0BF0">
        <w:t xml:space="preserve">at any time during the Loan Term, Lender </w:t>
      </w:r>
      <w:r w:rsidR="008A0BF0">
        <w:t xml:space="preserve">provides written notice to Borrower </w:t>
      </w:r>
      <w:r w:rsidRPr="008A0BF0">
        <w:t>that the Mortgaged Property is not being maintained in accordance with the requirements set forth in the Loan Documents or (B)</w:t>
      </w:r>
      <w:r w:rsidR="00613B56" w:rsidRPr="008A0BF0">
        <w:t> </w:t>
      </w:r>
      <w:r w:rsidRPr="008A0BF0">
        <w:t>a</w:t>
      </w:r>
      <w:r w:rsidR="00DD02A5" w:rsidRPr="008A0BF0">
        <w:t>n</w:t>
      </w:r>
      <w:r w:rsidRPr="008A0BF0">
        <w:t xml:space="preserve"> Event of </w:t>
      </w:r>
      <w:r w:rsidR="00DD02A5" w:rsidRPr="008A0BF0">
        <w:t>Default</w:t>
      </w:r>
      <w:r w:rsidRPr="008A0BF0">
        <w:t xml:space="preserve"> </w:t>
      </w:r>
      <w:r w:rsidR="008A0BF0">
        <w:t xml:space="preserve">has occurred </w:t>
      </w:r>
      <w:r w:rsidR="00DD02A5" w:rsidRPr="008A0BF0">
        <w:rPr>
          <w:szCs w:val="24"/>
        </w:rPr>
        <w:t>and is continuing</w:t>
      </w:r>
      <w:r w:rsidR="00DD02A5" w:rsidRPr="008A0BF0">
        <w:t xml:space="preserve"> </w:t>
      </w:r>
      <w:r w:rsidRPr="008A0BF0">
        <w:t xml:space="preserve">under </w:t>
      </w:r>
      <w:r w:rsidR="008A0BF0">
        <w:t>any of the Loan Documents, then</w:t>
      </w:r>
      <w:r w:rsidRPr="008A0BF0">
        <w:t xml:space="preserve"> upon the earlier of the (</w:t>
      </w:r>
      <w:r w:rsidR="006B0455" w:rsidRPr="008A0BF0">
        <w:t>i</w:t>
      </w:r>
      <w:r w:rsidRPr="008A0BF0">
        <w:t>)</w:t>
      </w:r>
      <w:r w:rsidR="00613B56" w:rsidRPr="008A0BF0">
        <w:t> </w:t>
      </w:r>
      <w:r w:rsidRPr="008A0BF0">
        <w:t xml:space="preserve">the date specified by Lender in </w:t>
      </w:r>
      <w:r w:rsidR="008A0BF0">
        <w:t xml:space="preserve">such </w:t>
      </w:r>
      <w:r w:rsidRPr="008A0BF0">
        <w:t>written notice to Borrower, or (</w:t>
      </w:r>
      <w:r w:rsidR="006B0455" w:rsidRPr="008A0BF0">
        <w:t>ii</w:t>
      </w:r>
      <w:r w:rsidRPr="008A0BF0">
        <w:t>)</w:t>
      </w:r>
      <w:r w:rsidR="00613B56" w:rsidRPr="008A0BF0">
        <w:t> </w:t>
      </w:r>
      <w:r w:rsidRPr="008A0BF0">
        <w:t xml:space="preserve">the first day of the first calendar month after </w:t>
      </w:r>
      <w:r w:rsidR="008A0BF0">
        <w:t xml:space="preserve">the occurrence of such </w:t>
      </w:r>
      <w:r w:rsidRPr="008A0BF0">
        <w:t xml:space="preserve">Event of </w:t>
      </w:r>
      <w:r w:rsidR="00DD02A5" w:rsidRPr="008A0BF0">
        <w:t>Default</w:t>
      </w:r>
      <w:r w:rsidRPr="008A0BF0">
        <w:t xml:space="preserve">, Borrower shall commence paying the full Monthly Replacement Reserve Deposits throughout the remaining Loan Term.  In such event, the provisions of </w:t>
      </w:r>
      <w:r w:rsidR="005F2F83" w:rsidRPr="008A0BF0">
        <w:t>Section</w:t>
      </w:r>
      <w:r w:rsidR="00613B56" w:rsidRPr="008A0BF0">
        <w:t> </w:t>
      </w:r>
      <w:r w:rsidR="005F2F83" w:rsidRPr="008A0BF0">
        <w:t xml:space="preserve">13.01(b)(1) </w:t>
      </w:r>
      <w:r w:rsidR="00CF0ADE" w:rsidRPr="008A0BF0">
        <w:t xml:space="preserve">(Partial or Full Waiver of Monthly Replacement Reserve Deposit) </w:t>
      </w:r>
      <w:r w:rsidR="005F2F83" w:rsidRPr="008A0BF0">
        <w:t xml:space="preserve">and </w:t>
      </w:r>
      <w:r w:rsidRPr="008A0BF0">
        <w:t>Section</w:t>
      </w:r>
      <w:r w:rsidR="00613B56" w:rsidRPr="008A0BF0">
        <w:t> </w:t>
      </w:r>
      <w:r w:rsidRPr="008A0BF0">
        <w:t>13.01(b)(2)(</w:t>
      </w:r>
      <w:r w:rsidR="006B0455" w:rsidRPr="008A0BF0">
        <w:t>A</w:t>
      </w:r>
      <w:r w:rsidRPr="008A0BF0">
        <w:t>)</w:t>
      </w:r>
      <w:r w:rsidR="00CF0ADE" w:rsidRPr="008A0BF0">
        <w:t xml:space="preserve"> (Alternate Funding)</w:t>
      </w:r>
      <w:r w:rsidRPr="008A0BF0">
        <w:t xml:space="preserve"> shall no longer apply and </w:t>
      </w:r>
      <w:r w:rsidR="00731167" w:rsidRPr="008A0BF0">
        <w:t xml:space="preserve">Lender shall make disbursements from the Replacement Reserve Account to reimburse Borrower for the costs of the Replacements in accordance with the </w:t>
      </w:r>
      <w:r w:rsidR="000F3D9F" w:rsidRPr="008A0BF0">
        <w:t xml:space="preserve">provisions </w:t>
      </w:r>
      <w:r w:rsidR="00731167" w:rsidRPr="008A0BF0">
        <w:t xml:space="preserve">of </w:t>
      </w:r>
      <w:r w:rsidRPr="008A0BF0">
        <w:t>this Article</w:t>
      </w:r>
      <w:r w:rsidR="00613B56" w:rsidRPr="008A0BF0">
        <w:t> </w:t>
      </w:r>
      <w:r w:rsidRPr="008A0BF0">
        <w:t>13</w:t>
      </w:r>
      <w:r w:rsidR="00CF0ADE" w:rsidRPr="008A0BF0">
        <w:t xml:space="preserve"> (Replacement</w:t>
      </w:r>
      <w:r w:rsidR="00D6264F">
        <w:t>s, Repairs, and Restoration</w:t>
      </w:r>
      <w:r w:rsidR="006B0455" w:rsidRPr="008A0BF0">
        <w:t>)</w:t>
      </w:r>
      <w:r w:rsidRPr="008A0BF0">
        <w:t>.</w:t>
      </w:r>
    </w:p>
    <w:p w:rsidR="00D6264F" w:rsidRPr="00CF2021" w:rsidRDefault="00D6264F" w:rsidP="00D6264F">
      <w:pPr>
        <w:jc w:val="center"/>
        <w:rPr>
          <w:szCs w:val="24"/>
        </w:rPr>
      </w:pPr>
      <w:r w:rsidRPr="001F57E4">
        <w:rPr>
          <w:b/>
        </w:rPr>
        <w:t>[Remainder of Page Intentionally Blank]</w:t>
      </w:r>
    </w:p>
    <w:p w:rsidR="00D6264F" w:rsidRPr="008A0BF0" w:rsidRDefault="00D6264F" w:rsidP="00D6264F">
      <w:pPr>
        <w:spacing w:after="960"/>
        <w:ind w:left="1440" w:right="720" w:firstLine="720"/>
        <w:jc w:val="center"/>
      </w:pPr>
    </w:p>
    <w:sectPr w:rsidR="00D6264F" w:rsidRPr="008A0BF0" w:rsidSect="003C77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91C" w:rsidRDefault="00AA791C">
      <w:pPr>
        <w:spacing w:line="20" w:lineRule="exact"/>
      </w:pPr>
    </w:p>
  </w:endnote>
  <w:endnote w:type="continuationSeparator" w:id="0">
    <w:p w:rsidR="00AA791C" w:rsidRDefault="00AA791C">
      <w:r>
        <w:t xml:space="preserve"> </w:t>
      </w:r>
    </w:p>
  </w:endnote>
  <w:endnote w:type="continuationNotice" w:id="1">
    <w:p w:rsidR="00AA791C" w:rsidRDefault="00AA791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4D" w:rsidRDefault="00B54E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AFD" w:rsidRPr="00B46E73" w:rsidRDefault="00E43AFD">
    <w:pPr>
      <w:rPr>
        <w:sz w:val="20"/>
      </w:rPr>
    </w:pPr>
  </w:p>
  <w:tbl>
    <w:tblPr>
      <w:tblW w:w="9600" w:type="dxa"/>
      <w:tblLook w:val="01E0" w:firstRow="1" w:lastRow="1" w:firstColumn="1" w:lastColumn="1" w:noHBand="0" w:noVBand="0"/>
    </w:tblPr>
    <w:tblGrid>
      <w:gridCol w:w="3948"/>
      <w:gridCol w:w="2460"/>
      <w:gridCol w:w="3192"/>
    </w:tblGrid>
    <w:tr w:rsidR="00E43AFD" w:rsidRPr="00156742" w:rsidTr="00156742">
      <w:tc>
        <w:tcPr>
          <w:tcW w:w="3948" w:type="dxa"/>
          <w:shd w:val="clear" w:color="auto" w:fill="auto"/>
          <w:vAlign w:val="bottom"/>
        </w:tcPr>
        <w:p w:rsidR="00E43AFD" w:rsidRPr="00156742" w:rsidRDefault="00E43AFD" w:rsidP="006B0455">
          <w:pPr>
            <w:pStyle w:val="Footer"/>
            <w:rPr>
              <w:b/>
              <w:sz w:val="20"/>
            </w:rPr>
          </w:pPr>
          <w:r w:rsidRPr="00156742">
            <w:rPr>
              <w:b/>
              <w:sz w:val="20"/>
            </w:rPr>
            <w:t>Modifications to Multifamily Loan and Security Agreement (Replacement Reserve – Alternate Funding)</w:t>
          </w:r>
        </w:p>
      </w:tc>
      <w:tc>
        <w:tcPr>
          <w:tcW w:w="2460" w:type="dxa"/>
          <w:shd w:val="clear" w:color="auto" w:fill="auto"/>
          <w:vAlign w:val="bottom"/>
        </w:tcPr>
        <w:p w:rsidR="00E43AFD" w:rsidRPr="00156742" w:rsidRDefault="00E43AFD" w:rsidP="00156742">
          <w:pPr>
            <w:pStyle w:val="Footer"/>
            <w:jc w:val="center"/>
            <w:rPr>
              <w:b/>
              <w:sz w:val="20"/>
            </w:rPr>
          </w:pPr>
          <w:r w:rsidRPr="00156742">
            <w:rPr>
              <w:b/>
              <w:sz w:val="20"/>
            </w:rPr>
            <w:t>Form 6221</w:t>
          </w:r>
        </w:p>
      </w:tc>
      <w:tc>
        <w:tcPr>
          <w:tcW w:w="3192" w:type="dxa"/>
          <w:shd w:val="clear" w:color="auto" w:fill="auto"/>
          <w:vAlign w:val="bottom"/>
        </w:tcPr>
        <w:p w:rsidR="00E43AFD" w:rsidRPr="00156742" w:rsidRDefault="00E43AFD" w:rsidP="00156742">
          <w:pPr>
            <w:pStyle w:val="Footer"/>
            <w:jc w:val="right"/>
            <w:rPr>
              <w:b/>
              <w:sz w:val="20"/>
            </w:rPr>
          </w:pPr>
          <w:r w:rsidRPr="00156742">
            <w:rPr>
              <w:b/>
              <w:sz w:val="20"/>
            </w:rPr>
            <w:t xml:space="preserve">Page </w:t>
          </w:r>
          <w:r w:rsidR="00044D87" w:rsidRPr="00156742">
            <w:rPr>
              <w:rStyle w:val="PageNumber"/>
              <w:b/>
              <w:sz w:val="20"/>
            </w:rPr>
            <w:fldChar w:fldCharType="begin"/>
          </w:r>
          <w:r w:rsidRPr="00156742">
            <w:rPr>
              <w:rStyle w:val="PageNumber"/>
              <w:b/>
              <w:sz w:val="20"/>
            </w:rPr>
            <w:instrText xml:space="preserve"> PAGE </w:instrText>
          </w:r>
          <w:r w:rsidR="00044D87" w:rsidRPr="00156742">
            <w:rPr>
              <w:rStyle w:val="PageNumber"/>
              <w:b/>
              <w:sz w:val="20"/>
            </w:rPr>
            <w:fldChar w:fldCharType="separate"/>
          </w:r>
          <w:r w:rsidR="00342DC7">
            <w:rPr>
              <w:rStyle w:val="PageNumber"/>
              <w:b/>
              <w:noProof/>
              <w:sz w:val="20"/>
            </w:rPr>
            <w:t>2</w:t>
          </w:r>
          <w:r w:rsidR="00044D87" w:rsidRPr="00156742">
            <w:rPr>
              <w:rStyle w:val="PageNumber"/>
              <w:b/>
              <w:sz w:val="20"/>
            </w:rPr>
            <w:fldChar w:fldCharType="end"/>
          </w:r>
        </w:p>
      </w:tc>
    </w:tr>
    <w:tr w:rsidR="00E43AFD" w:rsidRPr="00156742" w:rsidTr="00156742">
      <w:tc>
        <w:tcPr>
          <w:tcW w:w="3948" w:type="dxa"/>
          <w:shd w:val="clear" w:color="auto" w:fill="auto"/>
          <w:vAlign w:val="bottom"/>
        </w:tcPr>
        <w:p w:rsidR="00E43AFD" w:rsidRPr="00156742" w:rsidRDefault="00E43AFD" w:rsidP="006B0455">
          <w:pPr>
            <w:pStyle w:val="Footer"/>
            <w:rPr>
              <w:b/>
              <w:sz w:val="20"/>
            </w:rPr>
          </w:pPr>
          <w:r w:rsidRPr="00156742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:rsidR="00E43AFD" w:rsidRPr="00156742" w:rsidRDefault="00E07EED" w:rsidP="00D479B2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06-19</w:t>
          </w:r>
        </w:p>
      </w:tc>
      <w:tc>
        <w:tcPr>
          <w:tcW w:w="3192" w:type="dxa"/>
          <w:shd w:val="clear" w:color="auto" w:fill="auto"/>
          <w:vAlign w:val="bottom"/>
        </w:tcPr>
        <w:p w:rsidR="00E43AFD" w:rsidRPr="00156742" w:rsidRDefault="00E07EED" w:rsidP="00156742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2019 Fannie Mae</w:t>
          </w:r>
        </w:p>
      </w:tc>
    </w:tr>
  </w:tbl>
  <w:p w:rsidR="00E43AFD" w:rsidRPr="006B0455" w:rsidRDefault="00E43AFD" w:rsidP="006B04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271" w:rsidRDefault="00E81271"/>
  <w:tbl>
    <w:tblPr>
      <w:tblW w:w="9600" w:type="dxa"/>
      <w:tblLook w:val="01E0" w:firstRow="1" w:lastRow="1" w:firstColumn="1" w:lastColumn="1" w:noHBand="0" w:noVBand="0"/>
    </w:tblPr>
    <w:tblGrid>
      <w:gridCol w:w="3948"/>
      <w:gridCol w:w="2460"/>
      <w:gridCol w:w="3192"/>
    </w:tblGrid>
    <w:tr w:rsidR="00E43AFD" w:rsidRPr="00156742" w:rsidTr="00156742">
      <w:tc>
        <w:tcPr>
          <w:tcW w:w="3948" w:type="dxa"/>
          <w:shd w:val="clear" w:color="auto" w:fill="auto"/>
        </w:tcPr>
        <w:p w:rsidR="00E43AFD" w:rsidRPr="00156742" w:rsidRDefault="00E43AFD" w:rsidP="00613B56">
          <w:pPr>
            <w:pStyle w:val="Footer"/>
            <w:rPr>
              <w:b/>
              <w:sz w:val="20"/>
            </w:rPr>
          </w:pPr>
          <w:r w:rsidRPr="00156742">
            <w:rPr>
              <w:b/>
              <w:sz w:val="20"/>
            </w:rPr>
            <w:t>Modifications to Multifamily Loan and Security Agreement (Replacement Reserve – Alternate Funding)</w:t>
          </w:r>
        </w:p>
      </w:tc>
      <w:tc>
        <w:tcPr>
          <w:tcW w:w="2460" w:type="dxa"/>
          <w:shd w:val="clear" w:color="auto" w:fill="auto"/>
          <w:vAlign w:val="bottom"/>
        </w:tcPr>
        <w:p w:rsidR="00E43AFD" w:rsidRPr="00156742" w:rsidRDefault="00E43AFD" w:rsidP="00156742">
          <w:pPr>
            <w:pStyle w:val="Footer"/>
            <w:jc w:val="center"/>
            <w:rPr>
              <w:b/>
              <w:sz w:val="20"/>
            </w:rPr>
          </w:pPr>
          <w:r w:rsidRPr="00156742">
            <w:rPr>
              <w:b/>
              <w:sz w:val="20"/>
            </w:rPr>
            <w:t>Form 6221</w:t>
          </w:r>
        </w:p>
      </w:tc>
      <w:tc>
        <w:tcPr>
          <w:tcW w:w="3192" w:type="dxa"/>
          <w:shd w:val="clear" w:color="auto" w:fill="auto"/>
          <w:vAlign w:val="bottom"/>
        </w:tcPr>
        <w:p w:rsidR="00E43AFD" w:rsidRPr="00156742" w:rsidRDefault="00E43AFD" w:rsidP="00156742">
          <w:pPr>
            <w:pStyle w:val="Footer"/>
            <w:jc w:val="right"/>
            <w:rPr>
              <w:b/>
              <w:sz w:val="20"/>
            </w:rPr>
          </w:pPr>
          <w:r w:rsidRPr="00156742">
            <w:rPr>
              <w:b/>
              <w:sz w:val="20"/>
            </w:rPr>
            <w:t xml:space="preserve">Page </w:t>
          </w:r>
          <w:r w:rsidR="00044D87" w:rsidRPr="00156742">
            <w:rPr>
              <w:rStyle w:val="PageNumber"/>
              <w:b/>
              <w:sz w:val="20"/>
            </w:rPr>
            <w:fldChar w:fldCharType="begin"/>
          </w:r>
          <w:r w:rsidRPr="00156742">
            <w:rPr>
              <w:rStyle w:val="PageNumber"/>
              <w:b/>
              <w:sz w:val="20"/>
            </w:rPr>
            <w:instrText xml:space="preserve"> PAGE </w:instrText>
          </w:r>
          <w:r w:rsidR="00044D87" w:rsidRPr="00156742">
            <w:rPr>
              <w:rStyle w:val="PageNumber"/>
              <w:b/>
              <w:sz w:val="20"/>
            </w:rPr>
            <w:fldChar w:fldCharType="separate"/>
          </w:r>
          <w:r w:rsidR="00342DC7">
            <w:rPr>
              <w:rStyle w:val="PageNumber"/>
              <w:b/>
              <w:noProof/>
              <w:sz w:val="20"/>
            </w:rPr>
            <w:t>1</w:t>
          </w:r>
          <w:r w:rsidR="00044D87" w:rsidRPr="00156742">
            <w:rPr>
              <w:rStyle w:val="PageNumber"/>
              <w:b/>
              <w:sz w:val="20"/>
            </w:rPr>
            <w:fldChar w:fldCharType="end"/>
          </w:r>
        </w:p>
      </w:tc>
    </w:tr>
    <w:tr w:rsidR="00E43AFD" w:rsidRPr="00156742" w:rsidTr="00156742">
      <w:tc>
        <w:tcPr>
          <w:tcW w:w="3948" w:type="dxa"/>
          <w:shd w:val="clear" w:color="auto" w:fill="auto"/>
        </w:tcPr>
        <w:p w:rsidR="00E43AFD" w:rsidRPr="00156742" w:rsidRDefault="00E43AFD" w:rsidP="00613B56">
          <w:pPr>
            <w:pStyle w:val="Footer"/>
            <w:rPr>
              <w:b/>
              <w:sz w:val="20"/>
            </w:rPr>
          </w:pPr>
          <w:r w:rsidRPr="00156742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:rsidR="00E43AFD" w:rsidRPr="00156742" w:rsidRDefault="00E07EED" w:rsidP="00D479B2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06-19</w:t>
          </w:r>
        </w:p>
      </w:tc>
      <w:tc>
        <w:tcPr>
          <w:tcW w:w="3192" w:type="dxa"/>
          <w:shd w:val="clear" w:color="auto" w:fill="auto"/>
        </w:tcPr>
        <w:p w:rsidR="00E43AFD" w:rsidRPr="00156742" w:rsidRDefault="003564EA" w:rsidP="00156742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2019 Fannie Mae</w:t>
          </w:r>
        </w:p>
      </w:tc>
    </w:tr>
  </w:tbl>
  <w:p w:rsidR="00E43AFD" w:rsidRPr="00613B56" w:rsidRDefault="00E43AFD" w:rsidP="003C77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91C" w:rsidRDefault="00AA791C">
      <w:r>
        <w:separator/>
      </w:r>
    </w:p>
  </w:footnote>
  <w:footnote w:type="continuationSeparator" w:id="0">
    <w:p w:rsidR="00AA791C" w:rsidRDefault="00AA7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4D" w:rsidRDefault="00B54E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4D" w:rsidRDefault="00B54E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4D" w:rsidRDefault="00B54E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38B6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 w15:restartNumberingAfterBreak="0">
    <w:nsid w:val="182B69A8"/>
    <w:multiLevelType w:val="hybridMultilevel"/>
    <w:tmpl w:val="46D23E86"/>
    <w:name w:val="HeadingStyles||Heading|3|3|0|1|0|32||1|0|32||1|0|32||1|0|32||1|0|32||1|0|32||1|0|32||1|0|32||1|0|32||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96C60A1"/>
    <w:multiLevelType w:val="hybridMultilevel"/>
    <w:tmpl w:val="83C45B78"/>
    <w:lvl w:ilvl="0" w:tplc="A956D43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9455159"/>
    <w:multiLevelType w:val="hybridMultilevel"/>
    <w:tmpl w:val="00B4462C"/>
    <w:lvl w:ilvl="0" w:tplc="A956D43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941F2C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4B4F5398"/>
    <w:multiLevelType w:val="hybridMultilevel"/>
    <w:tmpl w:val="532AD5AE"/>
    <w:lvl w:ilvl="0" w:tplc="A956D436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04E6D70"/>
    <w:multiLevelType w:val="multilevel"/>
    <w:tmpl w:val="B67E74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4F059B5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70"/>
    <w:rsid w:val="00001970"/>
    <w:rsid w:val="00011835"/>
    <w:rsid w:val="00044D87"/>
    <w:rsid w:val="00055D50"/>
    <w:rsid w:val="0009565F"/>
    <w:rsid w:val="000C3003"/>
    <w:rsid w:val="000F3D9F"/>
    <w:rsid w:val="001117C8"/>
    <w:rsid w:val="00130BE2"/>
    <w:rsid w:val="001359BD"/>
    <w:rsid w:val="00143208"/>
    <w:rsid w:val="001556DB"/>
    <w:rsid w:val="00155751"/>
    <w:rsid w:val="00156742"/>
    <w:rsid w:val="00163FCD"/>
    <w:rsid w:val="0016503E"/>
    <w:rsid w:val="00194A05"/>
    <w:rsid w:val="001B3F24"/>
    <w:rsid w:val="001B67DC"/>
    <w:rsid w:val="001C6034"/>
    <w:rsid w:val="00201920"/>
    <w:rsid w:val="00204242"/>
    <w:rsid w:val="00234037"/>
    <w:rsid w:val="00235F91"/>
    <w:rsid w:val="002433AD"/>
    <w:rsid w:val="00273160"/>
    <w:rsid w:val="0027610C"/>
    <w:rsid w:val="00277A03"/>
    <w:rsid w:val="00290688"/>
    <w:rsid w:val="002962B9"/>
    <w:rsid w:val="002A4733"/>
    <w:rsid w:val="002C2680"/>
    <w:rsid w:val="002D58F3"/>
    <w:rsid w:val="002D7C61"/>
    <w:rsid w:val="002E47C0"/>
    <w:rsid w:val="002F49F3"/>
    <w:rsid w:val="003251BE"/>
    <w:rsid w:val="00342DC7"/>
    <w:rsid w:val="003564EA"/>
    <w:rsid w:val="003766CA"/>
    <w:rsid w:val="0039337B"/>
    <w:rsid w:val="00397978"/>
    <w:rsid w:val="003C4061"/>
    <w:rsid w:val="003C77F9"/>
    <w:rsid w:val="003F00C8"/>
    <w:rsid w:val="00406B76"/>
    <w:rsid w:val="00412D38"/>
    <w:rsid w:val="004349A9"/>
    <w:rsid w:val="0047100F"/>
    <w:rsid w:val="00482814"/>
    <w:rsid w:val="004A540E"/>
    <w:rsid w:val="004B3A7A"/>
    <w:rsid w:val="004B71B4"/>
    <w:rsid w:val="004C7F7B"/>
    <w:rsid w:val="00501754"/>
    <w:rsid w:val="00546E77"/>
    <w:rsid w:val="005D2CDF"/>
    <w:rsid w:val="005F2F83"/>
    <w:rsid w:val="00602DED"/>
    <w:rsid w:val="00613B56"/>
    <w:rsid w:val="00615BA9"/>
    <w:rsid w:val="00687782"/>
    <w:rsid w:val="00697918"/>
    <w:rsid w:val="006B0455"/>
    <w:rsid w:val="006B1182"/>
    <w:rsid w:val="006B431B"/>
    <w:rsid w:val="006B6CA9"/>
    <w:rsid w:val="006D2826"/>
    <w:rsid w:val="006D6656"/>
    <w:rsid w:val="006E2A9D"/>
    <w:rsid w:val="0072782A"/>
    <w:rsid w:val="00731167"/>
    <w:rsid w:val="00751644"/>
    <w:rsid w:val="007924B1"/>
    <w:rsid w:val="00792A90"/>
    <w:rsid w:val="00797B27"/>
    <w:rsid w:val="007C394E"/>
    <w:rsid w:val="007D43F5"/>
    <w:rsid w:val="007F5DEF"/>
    <w:rsid w:val="0084651A"/>
    <w:rsid w:val="00870A4E"/>
    <w:rsid w:val="008A0BF0"/>
    <w:rsid w:val="008E2F15"/>
    <w:rsid w:val="009031D8"/>
    <w:rsid w:val="00913BE1"/>
    <w:rsid w:val="00943A6A"/>
    <w:rsid w:val="009701E2"/>
    <w:rsid w:val="009E2719"/>
    <w:rsid w:val="009F030D"/>
    <w:rsid w:val="009F21E3"/>
    <w:rsid w:val="009F66B9"/>
    <w:rsid w:val="00A25348"/>
    <w:rsid w:val="00A35ACB"/>
    <w:rsid w:val="00A55D30"/>
    <w:rsid w:val="00A86A6A"/>
    <w:rsid w:val="00A91E05"/>
    <w:rsid w:val="00AA791C"/>
    <w:rsid w:val="00AB7724"/>
    <w:rsid w:val="00AD464D"/>
    <w:rsid w:val="00B0315B"/>
    <w:rsid w:val="00B045FB"/>
    <w:rsid w:val="00B13ECE"/>
    <w:rsid w:val="00B46E73"/>
    <w:rsid w:val="00B54E4D"/>
    <w:rsid w:val="00B60ED1"/>
    <w:rsid w:val="00BA089A"/>
    <w:rsid w:val="00BC6F50"/>
    <w:rsid w:val="00C322B1"/>
    <w:rsid w:val="00C45ADC"/>
    <w:rsid w:val="00C46F76"/>
    <w:rsid w:val="00C554FE"/>
    <w:rsid w:val="00C60643"/>
    <w:rsid w:val="00C76DFB"/>
    <w:rsid w:val="00CB619F"/>
    <w:rsid w:val="00CC7C13"/>
    <w:rsid w:val="00CE5816"/>
    <w:rsid w:val="00CF0ADE"/>
    <w:rsid w:val="00D479B2"/>
    <w:rsid w:val="00D6264F"/>
    <w:rsid w:val="00D6513E"/>
    <w:rsid w:val="00DD02A5"/>
    <w:rsid w:val="00E07EED"/>
    <w:rsid w:val="00E17272"/>
    <w:rsid w:val="00E2123C"/>
    <w:rsid w:val="00E37944"/>
    <w:rsid w:val="00E43AFD"/>
    <w:rsid w:val="00E63E15"/>
    <w:rsid w:val="00E81271"/>
    <w:rsid w:val="00EB3860"/>
    <w:rsid w:val="00EC7644"/>
    <w:rsid w:val="00ED7731"/>
    <w:rsid w:val="00F2057E"/>
    <w:rsid w:val="00F361CF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B5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44D87"/>
  </w:style>
  <w:style w:type="character" w:styleId="EndnoteReference">
    <w:name w:val="endnote reference"/>
    <w:semiHidden/>
    <w:rsid w:val="00044D87"/>
    <w:rPr>
      <w:vertAlign w:val="superscript"/>
    </w:rPr>
  </w:style>
  <w:style w:type="paragraph" w:styleId="FootnoteText">
    <w:name w:val="footnote text"/>
    <w:basedOn w:val="Normal"/>
    <w:semiHidden/>
    <w:rsid w:val="00044D87"/>
  </w:style>
  <w:style w:type="character" w:styleId="FootnoteReference">
    <w:name w:val="footnote reference"/>
    <w:semiHidden/>
    <w:rsid w:val="00044D87"/>
    <w:rPr>
      <w:vertAlign w:val="superscript"/>
    </w:rPr>
  </w:style>
  <w:style w:type="paragraph" w:styleId="TOC1">
    <w:name w:val="toc 1"/>
    <w:basedOn w:val="Normal"/>
    <w:next w:val="Normal"/>
    <w:semiHidden/>
    <w:rsid w:val="00044D8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44D8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44D8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44D8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44D8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44D8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44D8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44D8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44D8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44D8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44D8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44D8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44D87"/>
  </w:style>
  <w:style w:type="character" w:customStyle="1" w:styleId="EquationCaption">
    <w:name w:val="_Equation Caption"/>
    <w:rsid w:val="00044D87"/>
  </w:style>
  <w:style w:type="paragraph" w:styleId="Footer">
    <w:name w:val="footer"/>
    <w:basedOn w:val="Normal"/>
    <w:rsid w:val="00044D8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044D87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rsid w:val="00412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2F8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B0455"/>
  </w:style>
  <w:style w:type="character" w:customStyle="1" w:styleId="HeaderChar">
    <w:name w:val="Header Char"/>
    <w:link w:val="Header"/>
    <w:rsid w:val="00B031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583</Words>
  <Characters>3355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6221</vt:lpstr>
    </vt:vector>
  </TitlesOfParts>
  <Company/>
  <LinksUpToDate>false</LinksUpToDate>
  <CharactersWithSpaces>3923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