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25F" w:rsidRPr="00AC7CCE" w:rsidRDefault="007E425F" w:rsidP="00895E42">
      <w:pPr>
        <w:widowControl/>
        <w:suppressAutoHyphens/>
        <w:spacing w:after="240"/>
        <w:jc w:val="center"/>
        <w:rPr>
          <w:b/>
          <w:sz w:val="24"/>
          <w:szCs w:val="24"/>
        </w:rPr>
      </w:pPr>
      <w:bookmarkStart w:id="0" w:name="_GoBack"/>
      <w:bookmarkEnd w:id="0"/>
      <w:r w:rsidRPr="00AC7CCE">
        <w:rPr>
          <w:b/>
          <w:sz w:val="24"/>
          <w:szCs w:val="24"/>
        </w:rPr>
        <w:t>EXHIBIT [___]</w:t>
      </w:r>
    </w:p>
    <w:p w:rsidR="007E425F" w:rsidRPr="00AC7CCE" w:rsidRDefault="007E425F" w:rsidP="00895E42">
      <w:pPr>
        <w:widowControl/>
        <w:tabs>
          <w:tab w:val="center" w:pos="4680"/>
        </w:tabs>
        <w:suppressAutoHyphens/>
        <w:jc w:val="center"/>
        <w:rPr>
          <w:sz w:val="24"/>
          <w:szCs w:val="24"/>
        </w:rPr>
      </w:pPr>
      <w:r w:rsidRPr="00AC7CCE">
        <w:rPr>
          <w:b/>
          <w:sz w:val="24"/>
          <w:szCs w:val="24"/>
        </w:rPr>
        <w:t>MODIFICATIONS TO MULTIFAMILY LOAN AND SECURITY AGREEMENT</w:t>
      </w:r>
    </w:p>
    <w:p w:rsidR="007E425F" w:rsidRPr="00AC7CCE" w:rsidRDefault="007E425F" w:rsidP="00895E42">
      <w:pPr>
        <w:widowControl/>
        <w:suppressAutoHyphens/>
        <w:spacing w:after="360"/>
        <w:jc w:val="center"/>
        <w:rPr>
          <w:sz w:val="24"/>
          <w:szCs w:val="24"/>
        </w:rPr>
      </w:pPr>
      <w:r w:rsidRPr="00AC7CCE">
        <w:rPr>
          <w:b/>
          <w:sz w:val="24"/>
          <w:szCs w:val="24"/>
        </w:rPr>
        <w:t>(Tax Credit Properties</w:t>
      </w:r>
      <w:r w:rsidR="00A94049">
        <w:rPr>
          <w:b/>
          <w:sz w:val="24"/>
          <w:szCs w:val="24"/>
        </w:rPr>
        <w:t xml:space="preserve"> </w:t>
      </w:r>
      <w:r w:rsidR="004A7ACA">
        <w:rPr>
          <w:b/>
          <w:sz w:val="24"/>
          <w:szCs w:val="24"/>
        </w:rPr>
        <w:t xml:space="preserve">- </w:t>
      </w:r>
      <w:r w:rsidR="00A94049">
        <w:rPr>
          <w:b/>
          <w:sz w:val="24"/>
          <w:szCs w:val="24"/>
        </w:rPr>
        <w:t>No Equity Investor</w:t>
      </w:r>
      <w:r w:rsidRPr="00AC7CCE">
        <w:rPr>
          <w:b/>
          <w:sz w:val="24"/>
          <w:szCs w:val="24"/>
        </w:rPr>
        <w:t>)</w:t>
      </w:r>
    </w:p>
    <w:p w:rsidR="007E425F" w:rsidRPr="00AC7CCE" w:rsidRDefault="007E425F" w:rsidP="00895E42">
      <w:pPr>
        <w:widowControl/>
        <w:suppressAutoHyphens/>
        <w:spacing w:after="240"/>
        <w:ind w:firstLine="720"/>
        <w:jc w:val="both"/>
        <w:rPr>
          <w:sz w:val="24"/>
          <w:szCs w:val="24"/>
        </w:rPr>
      </w:pPr>
      <w:r w:rsidRPr="00AC7CCE">
        <w:rPr>
          <w:sz w:val="24"/>
          <w:szCs w:val="24"/>
        </w:rPr>
        <w:t>The foregoing Loan Agreement is hereby modified as follows:</w:t>
      </w:r>
    </w:p>
    <w:p w:rsidR="007E425F" w:rsidRPr="00AC7CCE" w:rsidRDefault="007E425F" w:rsidP="00895E42">
      <w:pPr>
        <w:widowControl/>
        <w:numPr>
          <w:ilvl w:val="0"/>
          <w:numId w:val="1"/>
        </w:numPr>
        <w:suppressAutoHyphens/>
        <w:spacing w:after="240"/>
        <w:jc w:val="both"/>
        <w:rPr>
          <w:sz w:val="24"/>
          <w:szCs w:val="24"/>
        </w:rPr>
      </w:pPr>
      <w:r w:rsidRPr="00AC7CCE">
        <w:rPr>
          <w:sz w:val="24"/>
          <w:szCs w:val="24"/>
        </w:rPr>
        <w:t>Capitalized terms used and not specifically defined herein have the meanings given to such terms in the Loan Agreement.</w:t>
      </w:r>
    </w:p>
    <w:p w:rsidR="007E425F" w:rsidRDefault="007E425F" w:rsidP="00895E42">
      <w:pPr>
        <w:widowControl/>
        <w:numPr>
          <w:ilvl w:val="0"/>
          <w:numId w:val="1"/>
        </w:numPr>
        <w:suppressAutoHyphens/>
        <w:spacing w:after="240"/>
        <w:jc w:val="both"/>
        <w:rPr>
          <w:sz w:val="24"/>
          <w:szCs w:val="24"/>
        </w:rPr>
      </w:pPr>
      <w:r w:rsidRPr="00AC7CCE">
        <w:rPr>
          <w:sz w:val="24"/>
          <w:szCs w:val="24"/>
        </w:rPr>
        <w:t>The Definitions Schedule is hereby amended by adding the following new definitions in the appropriate alphabetical order:</w:t>
      </w:r>
    </w:p>
    <w:p w:rsidR="007E425F" w:rsidRPr="00AC7CCE" w:rsidRDefault="007E425F" w:rsidP="00895E42">
      <w:pPr>
        <w:widowControl/>
        <w:tabs>
          <w:tab w:val="left" w:pos="-720"/>
        </w:tabs>
        <w:suppressAutoHyphens/>
        <w:spacing w:after="240"/>
        <w:ind w:left="720" w:right="760"/>
        <w:jc w:val="both"/>
        <w:rPr>
          <w:sz w:val="24"/>
          <w:szCs w:val="24"/>
        </w:rPr>
      </w:pPr>
      <w:r w:rsidRPr="00AC7CCE">
        <w:rPr>
          <w:sz w:val="24"/>
          <w:szCs w:val="24"/>
        </w:rPr>
        <w:t>“</w:t>
      </w:r>
      <w:r w:rsidRPr="00AC7CCE">
        <w:rPr>
          <w:b/>
          <w:sz w:val="24"/>
          <w:szCs w:val="24"/>
        </w:rPr>
        <w:t>Extended Use Agreement</w:t>
      </w:r>
      <w:r w:rsidRPr="00AC7CCE">
        <w:rPr>
          <w:sz w:val="24"/>
          <w:szCs w:val="24"/>
        </w:rPr>
        <w:t>” has the meaning set forth in the Security Instrument.</w:t>
      </w:r>
    </w:p>
    <w:p w:rsidR="009033FA" w:rsidRDefault="009033FA" w:rsidP="009033FA">
      <w:pPr>
        <w:widowControl/>
        <w:tabs>
          <w:tab w:val="left" w:pos="-720"/>
        </w:tabs>
        <w:suppressAutoHyphens/>
        <w:spacing w:after="240"/>
        <w:ind w:left="720" w:right="760"/>
        <w:jc w:val="both"/>
        <w:rPr>
          <w:sz w:val="24"/>
          <w:szCs w:val="24"/>
        </w:rPr>
      </w:pPr>
      <w:r>
        <w:rPr>
          <w:sz w:val="24"/>
          <w:szCs w:val="24"/>
        </w:rPr>
        <w:t>“</w:t>
      </w:r>
      <w:r>
        <w:rPr>
          <w:b/>
          <w:sz w:val="24"/>
          <w:szCs w:val="24"/>
        </w:rPr>
        <w:t>Minimum Set-Aside Test</w:t>
      </w:r>
      <w:r>
        <w:rPr>
          <w:sz w:val="24"/>
          <w:szCs w:val="24"/>
        </w:rPr>
        <w:t>” means the set-aside test elected by Borrower pursuant to Section</w:t>
      </w:r>
      <w:r w:rsidR="00296F82">
        <w:rPr>
          <w:sz w:val="24"/>
          <w:szCs w:val="24"/>
        </w:rPr>
        <w:t> </w:t>
      </w:r>
      <w:r>
        <w:rPr>
          <w:sz w:val="24"/>
          <w:szCs w:val="24"/>
        </w:rPr>
        <w:t>42(g)(1)(A) or (B) of the Internal Revenue Code with respect to the percentage of units built or to be built upon the Mortgaged Property to be occupied by tenants with incomes equal to no more than the designated percentage of area median income.  Borrower’s election of either the 40-60 Set-Aside Test (as provided in Section</w:t>
      </w:r>
      <w:r w:rsidR="00296F82">
        <w:rPr>
          <w:sz w:val="24"/>
          <w:szCs w:val="24"/>
        </w:rPr>
        <w:t> </w:t>
      </w:r>
      <w:r>
        <w:rPr>
          <w:sz w:val="24"/>
          <w:szCs w:val="24"/>
        </w:rPr>
        <w:t>42(g)(1)(B) of the Internal Revenue Code) or the 20-50 Set-Aside Test as the Minimum Set-Aside Test (as provided in Section</w:t>
      </w:r>
      <w:r w:rsidR="00296F82">
        <w:rPr>
          <w:sz w:val="24"/>
          <w:szCs w:val="24"/>
        </w:rPr>
        <w:t> </w:t>
      </w:r>
      <w:r>
        <w:rPr>
          <w:sz w:val="24"/>
          <w:szCs w:val="24"/>
        </w:rPr>
        <w:t>42(g)(1)(A) of the Internal Revenue Code) for the Mortgaged Property is indicated on the Summary of Loan Terms.</w:t>
      </w:r>
    </w:p>
    <w:p w:rsidR="009033FA" w:rsidRDefault="009033FA" w:rsidP="009033FA">
      <w:pPr>
        <w:widowControl/>
        <w:tabs>
          <w:tab w:val="left" w:pos="-720"/>
        </w:tabs>
        <w:suppressAutoHyphens/>
        <w:spacing w:after="240"/>
        <w:ind w:left="720" w:right="760"/>
        <w:jc w:val="both"/>
        <w:rPr>
          <w:sz w:val="24"/>
          <w:szCs w:val="24"/>
        </w:rPr>
      </w:pPr>
      <w:r>
        <w:rPr>
          <w:sz w:val="24"/>
          <w:szCs w:val="24"/>
        </w:rPr>
        <w:t>“</w:t>
      </w:r>
      <w:r>
        <w:rPr>
          <w:b/>
          <w:sz w:val="24"/>
          <w:szCs w:val="24"/>
        </w:rPr>
        <w:t>Rent Restriction Test</w:t>
      </w:r>
      <w:r>
        <w:rPr>
          <w:sz w:val="24"/>
          <w:szCs w:val="24"/>
        </w:rPr>
        <w:t>” means the rent restrictions imposed on the low-income units in the Mortgaged Property pursuant to Section 42(g</w:t>
      </w:r>
      <w:proofErr w:type="gramStart"/>
      <w:r>
        <w:rPr>
          <w:sz w:val="24"/>
          <w:szCs w:val="24"/>
        </w:rPr>
        <w:t>)(</w:t>
      </w:r>
      <w:proofErr w:type="gramEnd"/>
      <w:r>
        <w:rPr>
          <w:sz w:val="24"/>
          <w:szCs w:val="24"/>
        </w:rPr>
        <w:t>2) of the Internal Revenue Code, whereby the gross rent charged to tenant(s) of the low-income units cannot exceed thirty percent</w:t>
      </w:r>
      <w:r w:rsidR="00296F82">
        <w:rPr>
          <w:sz w:val="24"/>
          <w:szCs w:val="24"/>
        </w:rPr>
        <w:t> </w:t>
      </w:r>
      <w:r>
        <w:rPr>
          <w:sz w:val="24"/>
          <w:szCs w:val="24"/>
        </w:rPr>
        <w:t>(30%) of the imputed income limitation of the applicable units based upon the Minimum Set-Aside Test elected by the Borrower.</w:t>
      </w:r>
    </w:p>
    <w:p w:rsidR="009033FA" w:rsidRDefault="009033FA" w:rsidP="009033FA">
      <w:pPr>
        <w:widowControl/>
        <w:tabs>
          <w:tab w:val="left" w:pos="-720"/>
        </w:tabs>
        <w:suppressAutoHyphens/>
        <w:spacing w:after="240"/>
        <w:ind w:left="720" w:right="760"/>
        <w:jc w:val="both"/>
        <w:rPr>
          <w:b/>
          <w:sz w:val="24"/>
          <w:szCs w:val="24"/>
        </w:rPr>
      </w:pPr>
      <w:bookmarkStart w:id="1" w:name="_DV_M10"/>
      <w:bookmarkEnd w:id="1"/>
      <w:r>
        <w:rPr>
          <w:sz w:val="24"/>
          <w:szCs w:val="24"/>
        </w:rPr>
        <w:t>“</w:t>
      </w:r>
      <w:r>
        <w:rPr>
          <w:b/>
          <w:sz w:val="24"/>
          <w:szCs w:val="24"/>
        </w:rPr>
        <w:t>Tax Credits</w:t>
      </w:r>
      <w:r>
        <w:rPr>
          <w:sz w:val="24"/>
          <w:szCs w:val="24"/>
        </w:rPr>
        <w:t>” means the tax credits allocated to Borrower pursuant to Section</w:t>
      </w:r>
      <w:r w:rsidR="00296F82">
        <w:rPr>
          <w:sz w:val="24"/>
          <w:szCs w:val="24"/>
        </w:rPr>
        <w:t> </w:t>
      </w:r>
      <w:r>
        <w:rPr>
          <w:sz w:val="24"/>
          <w:szCs w:val="24"/>
        </w:rPr>
        <w:t xml:space="preserve">42 of the Internal Revenue Code in connection with the Mortgaged Property’s </w:t>
      </w:r>
      <w:bookmarkStart w:id="2" w:name="_DV_M11"/>
      <w:bookmarkEnd w:id="2"/>
      <w:r>
        <w:rPr>
          <w:sz w:val="24"/>
          <w:szCs w:val="24"/>
        </w:rPr>
        <w:t>operation as a “qualified low-income housing project” within the meaning of Section</w:t>
      </w:r>
      <w:r w:rsidR="00296F82">
        <w:rPr>
          <w:sz w:val="24"/>
          <w:szCs w:val="24"/>
        </w:rPr>
        <w:t> </w:t>
      </w:r>
      <w:r>
        <w:rPr>
          <w:sz w:val="24"/>
          <w:szCs w:val="24"/>
        </w:rPr>
        <w:t>42(g)(1) of the Internal Revenue Code.  The Tax Credits projected as of the Effective Date is the amount identified on the Summary of Loan Terms.</w:t>
      </w:r>
    </w:p>
    <w:p w:rsidR="009033FA" w:rsidRDefault="009033FA" w:rsidP="009033FA">
      <w:pPr>
        <w:widowControl/>
        <w:tabs>
          <w:tab w:val="left" w:pos="-720"/>
        </w:tabs>
        <w:suppressAutoHyphens/>
        <w:spacing w:after="240"/>
        <w:ind w:left="720" w:right="760"/>
        <w:jc w:val="both"/>
        <w:rPr>
          <w:sz w:val="24"/>
          <w:szCs w:val="24"/>
        </w:rPr>
      </w:pPr>
      <w:bookmarkStart w:id="3" w:name="_DV_M12"/>
      <w:bookmarkEnd w:id="3"/>
      <w:r>
        <w:rPr>
          <w:sz w:val="24"/>
          <w:szCs w:val="24"/>
        </w:rPr>
        <w:t>“</w:t>
      </w:r>
      <w:r>
        <w:rPr>
          <w:b/>
          <w:sz w:val="24"/>
          <w:szCs w:val="24"/>
        </w:rPr>
        <w:t>Tax Credit Agency</w:t>
      </w:r>
      <w:r>
        <w:rPr>
          <w:sz w:val="24"/>
          <w:szCs w:val="24"/>
        </w:rPr>
        <w:t>” means the state housing credit agency having responsibility for monitoring compliance of the Mortgaged Property with the requirements of (a)</w:t>
      </w:r>
      <w:r w:rsidR="00296F82">
        <w:rPr>
          <w:sz w:val="24"/>
          <w:szCs w:val="24"/>
        </w:rPr>
        <w:t> </w:t>
      </w:r>
      <w:r>
        <w:rPr>
          <w:sz w:val="24"/>
          <w:szCs w:val="24"/>
        </w:rPr>
        <w:t>Section</w:t>
      </w:r>
      <w:r w:rsidR="00296F82">
        <w:rPr>
          <w:sz w:val="24"/>
          <w:szCs w:val="24"/>
        </w:rPr>
        <w:t> </w:t>
      </w:r>
      <w:r>
        <w:rPr>
          <w:sz w:val="24"/>
          <w:szCs w:val="24"/>
        </w:rPr>
        <w:t>42 of the Internal Revenue Code and (b)</w:t>
      </w:r>
      <w:r w:rsidR="00296F82">
        <w:rPr>
          <w:sz w:val="24"/>
          <w:szCs w:val="24"/>
        </w:rPr>
        <w:t> </w:t>
      </w:r>
      <w:r>
        <w:rPr>
          <w:sz w:val="24"/>
          <w:szCs w:val="24"/>
        </w:rPr>
        <w:t>the Extended Use Agreement.</w:t>
      </w:r>
    </w:p>
    <w:p w:rsidR="007E425F" w:rsidRPr="00AC7CCE" w:rsidRDefault="007E425F" w:rsidP="00A94049">
      <w:pPr>
        <w:keepNext/>
        <w:widowControl/>
        <w:numPr>
          <w:ilvl w:val="0"/>
          <w:numId w:val="1"/>
        </w:numPr>
        <w:suppressAutoHyphens/>
        <w:spacing w:after="240"/>
        <w:jc w:val="both"/>
        <w:rPr>
          <w:sz w:val="24"/>
          <w:szCs w:val="24"/>
        </w:rPr>
      </w:pPr>
      <w:r w:rsidRPr="00AC7CCE">
        <w:rPr>
          <w:sz w:val="24"/>
          <w:szCs w:val="24"/>
        </w:rPr>
        <w:lastRenderedPageBreak/>
        <w:t>Section 14.01(a) (Events of Default – Automatic Events of Default) of the Loan Agreement is hereby amended by adding the following provision to the end thereof:</w:t>
      </w:r>
    </w:p>
    <w:p w:rsidR="007E425F" w:rsidRPr="00AC7CCE" w:rsidRDefault="007E425F" w:rsidP="00895E42">
      <w:pPr>
        <w:widowControl/>
        <w:suppressAutoHyphens/>
        <w:spacing w:after="240"/>
        <w:ind w:left="1440" w:right="720" w:firstLine="720"/>
        <w:jc w:val="both"/>
        <w:rPr>
          <w:sz w:val="24"/>
          <w:szCs w:val="24"/>
        </w:rPr>
      </w:pPr>
      <w:r w:rsidRPr="00AC7CCE">
        <w:rPr>
          <w:sz w:val="24"/>
          <w:szCs w:val="24"/>
        </w:rPr>
        <w:t>([__])</w:t>
      </w:r>
      <w:r w:rsidRPr="00AC7CCE">
        <w:rPr>
          <w:sz w:val="24"/>
          <w:szCs w:val="24"/>
        </w:rPr>
        <w:tab/>
      </w:r>
      <w:r w:rsidR="009033FA">
        <w:rPr>
          <w:sz w:val="24"/>
          <w:szCs w:val="24"/>
        </w:rPr>
        <w:t>any default, event of default, or breach (however such terms may be defined in the Extended Use Agreement) after the expiration of any deadline for performance and applicable notice or cure periods, if any, under the Extended Use Agreement.</w:t>
      </w:r>
    </w:p>
    <w:p w:rsidR="007E425F" w:rsidRPr="00AC7CCE" w:rsidRDefault="007E425F" w:rsidP="00A94049">
      <w:pPr>
        <w:keepNext/>
        <w:widowControl/>
        <w:numPr>
          <w:ilvl w:val="0"/>
          <w:numId w:val="1"/>
        </w:numPr>
        <w:suppressAutoHyphens/>
        <w:spacing w:after="240"/>
        <w:jc w:val="both"/>
        <w:rPr>
          <w:sz w:val="24"/>
          <w:szCs w:val="24"/>
        </w:rPr>
      </w:pPr>
      <w:r w:rsidRPr="00AC7CCE">
        <w:rPr>
          <w:sz w:val="24"/>
          <w:szCs w:val="24"/>
        </w:rPr>
        <w:t>The following article is hereby added t</w:t>
      </w:r>
      <w:r w:rsidR="00287B1A">
        <w:rPr>
          <w:sz w:val="24"/>
          <w:szCs w:val="24"/>
        </w:rPr>
        <w:t>o the Loan Agreement as Article</w:t>
      </w:r>
      <w:r w:rsidR="00241811">
        <w:rPr>
          <w:sz w:val="24"/>
          <w:szCs w:val="24"/>
        </w:rPr>
        <w:t> </w:t>
      </w:r>
      <w:r w:rsidRPr="00AC7CCE">
        <w:rPr>
          <w:sz w:val="24"/>
          <w:szCs w:val="24"/>
        </w:rPr>
        <w:t>[___] (Items Related to Tax Credit Properties):</w:t>
      </w:r>
    </w:p>
    <w:p w:rsidR="007E425F" w:rsidRPr="00AC7CCE" w:rsidRDefault="007E425F" w:rsidP="00895E42">
      <w:pPr>
        <w:keepNext/>
        <w:widowControl/>
        <w:suppressAutoHyphens/>
        <w:spacing w:after="240"/>
        <w:ind w:left="720" w:right="720"/>
        <w:jc w:val="center"/>
        <w:outlineLvl w:val="0"/>
        <w:rPr>
          <w:rFonts w:ascii="Times New Roman Bold" w:hAnsi="Times New Roman Bold"/>
          <w:b/>
          <w:snapToGrid w:val="0"/>
          <w:sz w:val="24"/>
          <w:szCs w:val="24"/>
        </w:rPr>
      </w:pPr>
      <w:bookmarkStart w:id="4" w:name="_Toc263870054"/>
      <w:bookmarkStart w:id="5" w:name="_Toc263870613"/>
      <w:bookmarkStart w:id="6" w:name="_Toc241299261"/>
      <w:bookmarkStart w:id="7" w:name="_Toc241480314"/>
      <w:bookmarkStart w:id="8" w:name="_Toc264474021"/>
      <w:bookmarkStart w:id="9" w:name="_Toc266373268"/>
      <w:bookmarkStart w:id="10" w:name="_Toc271706538"/>
      <w:r w:rsidRPr="00AC7CCE">
        <w:rPr>
          <w:rFonts w:ascii="Times New Roman Bold" w:hAnsi="Times New Roman Bold"/>
          <w:b/>
          <w:snapToGrid w:val="0"/>
          <w:sz w:val="24"/>
          <w:szCs w:val="24"/>
        </w:rPr>
        <w:t>ARTICLE [___]</w:t>
      </w:r>
      <w:bookmarkStart w:id="11" w:name="_Toc263870055"/>
      <w:bookmarkStart w:id="12" w:name="_Toc263870614"/>
      <w:bookmarkEnd w:id="4"/>
      <w:bookmarkEnd w:id="5"/>
      <w:r w:rsidRPr="00AC7CCE">
        <w:rPr>
          <w:rFonts w:ascii="Times New Roman Bold" w:hAnsi="Times New Roman Bold"/>
          <w:b/>
          <w:snapToGrid w:val="0"/>
          <w:sz w:val="24"/>
          <w:szCs w:val="24"/>
        </w:rPr>
        <w:t xml:space="preserve"> – </w:t>
      </w:r>
      <w:bookmarkEnd w:id="6"/>
      <w:bookmarkEnd w:id="7"/>
      <w:bookmarkEnd w:id="8"/>
      <w:bookmarkEnd w:id="9"/>
      <w:bookmarkEnd w:id="10"/>
      <w:bookmarkEnd w:id="11"/>
      <w:bookmarkEnd w:id="12"/>
      <w:r w:rsidRPr="00AC7CCE">
        <w:rPr>
          <w:rFonts w:ascii="Times New Roman Bold" w:hAnsi="Times New Roman Bold"/>
          <w:b/>
          <w:snapToGrid w:val="0"/>
          <w:sz w:val="24"/>
          <w:szCs w:val="24"/>
        </w:rPr>
        <w:t>ITEMS RELATED TO TAX CREDIT PROPERTIES</w:t>
      </w:r>
    </w:p>
    <w:p w:rsidR="007E425F" w:rsidRPr="00AC7CCE" w:rsidRDefault="007E425F" w:rsidP="00895E42">
      <w:pPr>
        <w:keepNext/>
        <w:widowControl/>
        <w:suppressAutoHyphens/>
        <w:spacing w:after="240"/>
        <w:ind w:left="720" w:right="720"/>
        <w:jc w:val="both"/>
        <w:rPr>
          <w:b/>
          <w:sz w:val="24"/>
          <w:szCs w:val="24"/>
        </w:rPr>
      </w:pPr>
      <w:r w:rsidRPr="00AC7CCE">
        <w:rPr>
          <w:b/>
          <w:sz w:val="24"/>
          <w:szCs w:val="24"/>
        </w:rPr>
        <w:t>Section [__].0</w:t>
      </w:r>
      <w:r w:rsidR="00A94049">
        <w:rPr>
          <w:b/>
          <w:sz w:val="24"/>
          <w:szCs w:val="24"/>
        </w:rPr>
        <w:t>1</w:t>
      </w:r>
      <w:r w:rsidRPr="00AC7CCE">
        <w:rPr>
          <w:b/>
          <w:sz w:val="24"/>
          <w:szCs w:val="24"/>
        </w:rPr>
        <w:tab/>
        <w:t>Annual Compliance.</w:t>
      </w:r>
    </w:p>
    <w:p w:rsidR="009033FA" w:rsidRDefault="009033FA" w:rsidP="009033FA">
      <w:pPr>
        <w:widowControl/>
        <w:tabs>
          <w:tab w:val="left" w:pos="-720"/>
        </w:tabs>
        <w:suppressAutoHyphens/>
        <w:spacing w:after="240"/>
        <w:ind w:left="720" w:right="720" w:firstLine="720"/>
        <w:jc w:val="both"/>
        <w:rPr>
          <w:sz w:val="24"/>
          <w:szCs w:val="24"/>
        </w:rPr>
      </w:pPr>
      <w:r>
        <w:rPr>
          <w:sz w:val="24"/>
          <w:szCs w:val="24"/>
        </w:rPr>
        <w:t>Borrower shall submit to Lender on an annual basis, evidence that the Mortgaged Property is in ongoing compliance with all income, occupancy and rent restrictions under the Extended Use Agreement relating to the Mortgaged Property.  Such submissions shall be made contemporaneously with Borrower’s reports required to be made to the Tax Credit Agency under the Extended Use Agreement.  If the Tax Credit Agency issues an Internal Revenue Service Form</w:t>
      </w:r>
      <w:r w:rsidR="00296F82">
        <w:rPr>
          <w:sz w:val="24"/>
          <w:szCs w:val="24"/>
        </w:rPr>
        <w:t> </w:t>
      </w:r>
      <w:r>
        <w:rPr>
          <w:sz w:val="24"/>
          <w:szCs w:val="24"/>
        </w:rPr>
        <w:t>8823, Borrower shall provide to Lender a copy of each such form within five</w:t>
      </w:r>
      <w:r w:rsidR="00296F82">
        <w:rPr>
          <w:sz w:val="24"/>
          <w:szCs w:val="24"/>
        </w:rPr>
        <w:t> </w:t>
      </w:r>
      <w:r>
        <w:rPr>
          <w:sz w:val="24"/>
          <w:szCs w:val="24"/>
        </w:rPr>
        <w:t>(5) Business Days of Borrower’s receipt of such form(s) from the Tax Credit Agency.</w:t>
      </w:r>
    </w:p>
    <w:p w:rsidR="007E425F" w:rsidRPr="00AC7CCE" w:rsidRDefault="007E425F" w:rsidP="00895E42">
      <w:pPr>
        <w:keepNext/>
        <w:widowControl/>
        <w:suppressAutoHyphens/>
        <w:spacing w:after="240"/>
        <w:ind w:left="734" w:right="720" w:hanging="14"/>
        <w:jc w:val="both"/>
        <w:rPr>
          <w:sz w:val="24"/>
          <w:szCs w:val="24"/>
        </w:rPr>
      </w:pPr>
      <w:r w:rsidRPr="00AC7CCE">
        <w:rPr>
          <w:b/>
          <w:sz w:val="24"/>
          <w:szCs w:val="24"/>
        </w:rPr>
        <w:t>Section [__].0</w:t>
      </w:r>
      <w:r w:rsidR="00A94049">
        <w:rPr>
          <w:b/>
          <w:sz w:val="24"/>
          <w:szCs w:val="24"/>
        </w:rPr>
        <w:t>2</w:t>
      </w:r>
      <w:r w:rsidRPr="00AC7CCE">
        <w:rPr>
          <w:b/>
          <w:sz w:val="24"/>
          <w:szCs w:val="24"/>
        </w:rPr>
        <w:tab/>
        <w:t>Tax Credit Representations</w:t>
      </w:r>
      <w:r w:rsidR="00C54481">
        <w:rPr>
          <w:b/>
          <w:sz w:val="24"/>
          <w:szCs w:val="24"/>
        </w:rPr>
        <w:t xml:space="preserve"> and</w:t>
      </w:r>
      <w:r w:rsidRPr="00AC7CCE">
        <w:rPr>
          <w:b/>
          <w:sz w:val="24"/>
          <w:szCs w:val="24"/>
        </w:rPr>
        <w:t xml:space="preserve"> Warranties</w:t>
      </w:r>
      <w:r w:rsidR="00C54481">
        <w:rPr>
          <w:b/>
          <w:sz w:val="24"/>
          <w:szCs w:val="24"/>
        </w:rPr>
        <w:t>.</w:t>
      </w:r>
    </w:p>
    <w:p w:rsidR="007E425F" w:rsidRPr="00AC7CCE" w:rsidRDefault="00905265" w:rsidP="00895E42">
      <w:pPr>
        <w:widowControl/>
        <w:suppressAutoHyphens/>
        <w:spacing w:after="240"/>
        <w:ind w:left="720" w:right="720" w:firstLine="720"/>
        <w:jc w:val="both"/>
        <w:rPr>
          <w:sz w:val="24"/>
          <w:szCs w:val="24"/>
        </w:rPr>
      </w:pPr>
      <w:r>
        <w:rPr>
          <w:sz w:val="24"/>
          <w:szCs w:val="24"/>
        </w:rPr>
        <w:t xml:space="preserve">All </w:t>
      </w:r>
      <w:r w:rsidR="00E47635" w:rsidRPr="00E47635">
        <w:rPr>
          <w:sz w:val="24"/>
          <w:szCs w:val="24"/>
        </w:rPr>
        <w:t>representations and warranties made by Borrower to Lender in this Section</w:t>
      </w:r>
      <w:r w:rsidR="0074406E">
        <w:rPr>
          <w:sz w:val="24"/>
          <w:szCs w:val="24"/>
        </w:rPr>
        <w:t> [__].0</w:t>
      </w:r>
      <w:r w:rsidR="00A94049">
        <w:rPr>
          <w:sz w:val="24"/>
          <w:szCs w:val="24"/>
        </w:rPr>
        <w:t>2</w:t>
      </w:r>
      <w:r w:rsidR="0074406E">
        <w:rPr>
          <w:sz w:val="24"/>
          <w:szCs w:val="24"/>
        </w:rPr>
        <w:t xml:space="preserve"> </w:t>
      </w:r>
      <w:r w:rsidR="00241811">
        <w:rPr>
          <w:sz w:val="24"/>
          <w:szCs w:val="24"/>
        </w:rPr>
        <w:t>(Tax Credit Representations</w:t>
      </w:r>
      <w:r w:rsidR="00C54481">
        <w:rPr>
          <w:sz w:val="24"/>
          <w:szCs w:val="24"/>
        </w:rPr>
        <w:t xml:space="preserve"> and</w:t>
      </w:r>
      <w:r w:rsidR="00241811">
        <w:rPr>
          <w:sz w:val="24"/>
          <w:szCs w:val="24"/>
        </w:rPr>
        <w:t xml:space="preserve"> Warranties) </w:t>
      </w:r>
      <w:r w:rsidR="00E47635" w:rsidRPr="00E47635">
        <w:rPr>
          <w:sz w:val="24"/>
          <w:szCs w:val="24"/>
        </w:rPr>
        <w:t>are made as of the Effective Date, and are true and correct except as disclosed on the Exceptions to Representations and Warranties Schedule.</w:t>
      </w:r>
    </w:p>
    <w:p w:rsidR="009033FA" w:rsidRDefault="009033FA" w:rsidP="009033FA">
      <w:pPr>
        <w:widowControl/>
        <w:suppressAutoHyphens/>
        <w:spacing w:after="240"/>
        <w:ind w:left="720" w:right="720" w:firstLine="720"/>
        <w:jc w:val="both"/>
        <w:rPr>
          <w:sz w:val="24"/>
          <w:szCs w:val="24"/>
        </w:rPr>
      </w:pPr>
      <w:r>
        <w:rPr>
          <w:sz w:val="24"/>
          <w:szCs w:val="24"/>
        </w:rPr>
        <w:t>(a)</w:t>
      </w:r>
      <w:r>
        <w:rPr>
          <w:sz w:val="24"/>
          <w:szCs w:val="24"/>
        </w:rPr>
        <w:tab/>
        <w:t>There are no restrictions on the sale or refinancing of the Mortgaged Property, other than the restrictions set forth in this Loan Agreement and the Extended Use Agreement.</w:t>
      </w:r>
    </w:p>
    <w:p w:rsidR="009033FA" w:rsidRDefault="009033FA" w:rsidP="009033FA">
      <w:pPr>
        <w:widowControl/>
        <w:suppressAutoHyphens/>
        <w:spacing w:after="240"/>
        <w:ind w:left="720" w:right="720" w:firstLine="720"/>
        <w:jc w:val="both"/>
        <w:rPr>
          <w:sz w:val="24"/>
          <w:szCs w:val="24"/>
        </w:rPr>
      </w:pPr>
      <w:bookmarkStart w:id="13" w:name="_DV_M28"/>
      <w:bookmarkEnd w:id="13"/>
      <w:r>
        <w:rPr>
          <w:sz w:val="24"/>
          <w:szCs w:val="24"/>
        </w:rPr>
        <w:t>(b)</w:t>
      </w:r>
      <w:r>
        <w:rPr>
          <w:sz w:val="24"/>
          <w:szCs w:val="24"/>
        </w:rPr>
        <w:tab/>
        <w:t>Borrower and the Mortgaged Property satisfies all restrictions and requirements, including tenant income and rent restrictions and record-keeping and retention requirements, applicable to projects generating Tax Credits under Section</w:t>
      </w:r>
      <w:r w:rsidR="00296F82">
        <w:rPr>
          <w:sz w:val="24"/>
          <w:szCs w:val="24"/>
        </w:rPr>
        <w:t> </w:t>
      </w:r>
      <w:r>
        <w:rPr>
          <w:sz w:val="24"/>
          <w:szCs w:val="24"/>
        </w:rPr>
        <w:t>42 of the Internal Revenue Code.</w:t>
      </w:r>
    </w:p>
    <w:p w:rsidR="009033FA" w:rsidRDefault="009033FA" w:rsidP="009033FA">
      <w:pPr>
        <w:widowControl/>
        <w:suppressAutoHyphens/>
        <w:spacing w:after="240"/>
        <w:ind w:left="720" w:right="720" w:firstLine="720"/>
        <w:jc w:val="both"/>
        <w:rPr>
          <w:sz w:val="24"/>
          <w:szCs w:val="24"/>
        </w:rPr>
      </w:pPr>
      <w:bookmarkStart w:id="14" w:name="_DV_M29"/>
      <w:bookmarkEnd w:id="14"/>
      <w:r>
        <w:rPr>
          <w:sz w:val="24"/>
          <w:szCs w:val="24"/>
        </w:rPr>
        <w:t>(c)</w:t>
      </w:r>
      <w:r>
        <w:rPr>
          <w:sz w:val="24"/>
          <w:szCs w:val="24"/>
        </w:rPr>
        <w:tab/>
        <w:t>Borrower and the Mortgaged Property satisfies all covenants and restrictions set forth in the Extended Use Agreement.</w:t>
      </w:r>
    </w:p>
    <w:p w:rsidR="009033FA" w:rsidRDefault="009033FA" w:rsidP="009033FA">
      <w:pPr>
        <w:widowControl/>
        <w:suppressAutoHyphens/>
        <w:spacing w:after="240"/>
        <w:ind w:left="720" w:right="720" w:firstLine="720"/>
        <w:jc w:val="both"/>
        <w:rPr>
          <w:sz w:val="24"/>
          <w:szCs w:val="24"/>
        </w:rPr>
      </w:pPr>
      <w:bookmarkStart w:id="15" w:name="_DV_M30"/>
      <w:bookmarkEnd w:id="15"/>
      <w:r>
        <w:rPr>
          <w:sz w:val="24"/>
          <w:szCs w:val="24"/>
        </w:rPr>
        <w:t>(d)</w:t>
      </w:r>
      <w:r>
        <w:rPr>
          <w:sz w:val="24"/>
          <w:szCs w:val="24"/>
        </w:rPr>
        <w:tab/>
        <w:t>The only tenant eligibility requirements or rent restrictions applicable to the Mortgaged Property or Borrower are those that apply to residential units pursuant to the Minimum Set-Aside Test elected by Borrower for the low-</w:t>
      </w:r>
      <w:r>
        <w:rPr>
          <w:sz w:val="24"/>
          <w:szCs w:val="24"/>
        </w:rPr>
        <w:lastRenderedPageBreak/>
        <w:t>income units in the Mortgaged Property or as set forth in the Extended Use Agreement.</w:t>
      </w:r>
    </w:p>
    <w:p w:rsidR="009033FA" w:rsidRDefault="009033FA" w:rsidP="009033FA">
      <w:pPr>
        <w:widowControl/>
        <w:suppressAutoHyphens/>
        <w:spacing w:after="240"/>
        <w:ind w:left="720" w:right="720" w:firstLine="720"/>
        <w:jc w:val="both"/>
        <w:rPr>
          <w:sz w:val="24"/>
          <w:szCs w:val="24"/>
        </w:rPr>
      </w:pPr>
      <w:bookmarkStart w:id="16" w:name="_DV_M31"/>
      <w:bookmarkEnd w:id="16"/>
      <w:r>
        <w:rPr>
          <w:sz w:val="24"/>
          <w:szCs w:val="24"/>
        </w:rPr>
        <w:t>(e)</w:t>
      </w:r>
      <w:r>
        <w:rPr>
          <w:sz w:val="24"/>
          <w:szCs w:val="24"/>
        </w:rPr>
        <w:tab/>
        <w:t>Neither the Extended Use Agreement nor any other document, instrument or agreement to which Borrower is a party restricts, limits or waives the right of Lender to cause a termination of the Extended Use Agreement in accordance with Internal Revenue Code Section</w:t>
      </w:r>
      <w:r w:rsidR="00296F82">
        <w:rPr>
          <w:sz w:val="24"/>
          <w:szCs w:val="24"/>
        </w:rPr>
        <w:t> </w:t>
      </w:r>
      <w:r>
        <w:rPr>
          <w:sz w:val="24"/>
          <w:szCs w:val="24"/>
        </w:rPr>
        <w:t>42(h)(6)(E)(i)(I).</w:t>
      </w:r>
    </w:p>
    <w:p w:rsidR="00C54481" w:rsidRPr="00AC7CCE" w:rsidRDefault="00C54481" w:rsidP="00C54481">
      <w:pPr>
        <w:keepNext/>
        <w:widowControl/>
        <w:suppressAutoHyphens/>
        <w:spacing w:after="240"/>
        <w:ind w:left="734" w:right="720" w:hanging="14"/>
        <w:jc w:val="both"/>
        <w:rPr>
          <w:sz w:val="24"/>
          <w:szCs w:val="24"/>
        </w:rPr>
      </w:pPr>
      <w:r w:rsidRPr="00AC7CCE">
        <w:rPr>
          <w:b/>
          <w:sz w:val="24"/>
          <w:szCs w:val="24"/>
        </w:rPr>
        <w:t>Section [__].0</w:t>
      </w:r>
      <w:r w:rsidR="00A94049">
        <w:rPr>
          <w:b/>
          <w:sz w:val="24"/>
          <w:szCs w:val="24"/>
        </w:rPr>
        <w:t>3</w:t>
      </w:r>
      <w:r w:rsidRPr="00AC7CCE">
        <w:rPr>
          <w:b/>
          <w:sz w:val="24"/>
          <w:szCs w:val="24"/>
        </w:rPr>
        <w:tab/>
        <w:t xml:space="preserve">Tax Credit </w:t>
      </w:r>
      <w:r>
        <w:rPr>
          <w:b/>
          <w:sz w:val="24"/>
          <w:szCs w:val="24"/>
        </w:rPr>
        <w:t>Covenants.</w:t>
      </w:r>
    </w:p>
    <w:p w:rsidR="009033FA" w:rsidRDefault="009033FA" w:rsidP="009033FA">
      <w:pPr>
        <w:widowControl/>
        <w:suppressAutoHyphens/>
        <w:spacing w:after="240"/>
        <w:ind w:left="720" w:right="720" w:firstLine="720"/>
        <w:jc w:val="both"/>
        <w:rPr>
          <w:sz w:val="24"/>
          <w:szCs w:val="24"/>
        </w:rPr>
      </w:pPr>
      <w:r>
        <w:rPr>
          <w:sz w:val="24"/>
          <w:szCs w:val="24"/>
        </w:rPr>
        <w:t>(a)</w:t>
      </w:r>
      <w:r>
        <w:rPr>
          <w:sz w:val="24"/>
          <w:szCs w:val="24"/>
        </w:rPr>
        <w:tab/>
        <w:t>Borrower and the Mortgaged Property shall continue to satisfy all restrictions and requirements, including tenant income and rent restrictions and record-keeping and retention requirements, applicable to projects generating Tax Credits under Section</w:t>
      </w:r>
      <w:r w:rsidR="00296F82">
        <w:rPr>
          <w:sz w:val="24"/>
          <w:szCs w:val="24"/>
        </w:rPr>
        <w:t> </w:t>
      </w:r>
      <w:r>
        <w:rPr>
          <w:sz w:val="24"/>
          <w:szCs w:val="24"/>
        </w:rPr>
        <w:t>42 of the Internal Revenue Code.</w:t>
      </w:r>
    </w:p>
    <w:p w:rsidR="009033FA" w:rsidRDefault="009033FA" w:rsidP="009033FA">
      <w:pPr>
        <w:widowControl/>
        <w:suppressAutoHyphens/>
        <w:spacing w:after="240"/>
        <w:ind w:left="720" w:right="720" w:firstLine="720"/>
        <w:jc w:val="both"/>
        <w:rPr>
          <w:sz w:val="24"/>
          <w:szCs w:val="24"/>
        </w:rPr>
      </w:pPr>
      <w:bookmarkStart w:id="17" w:name="_DV_M35"/>
      <w:bookmarkEnd w:id="17"/>
      <w:r>
        <w:rPr>
          <w:sz w:val="24"/>
          <w:szCs w:val="24"/>
        </w:rPr>
        <w:t>(b)</w:t>
      </w:r>
      <w:r>
        <w:rPr>
          <w:sz w:val="24"/>
          <w:szCs w:val="24"/>
        </w:rPr>
        <w:tab/>
        <w:t>Borrower and the Mortgaged Property shall continue to satisfy all covenants and restrictions set forth in the Extended Use Agreement.</w:t>
      </w:r>
    </w:p>
    <w:p w:rsidR="009033FA" w:rsidRDefault="009033FA" w:rsidP="009033FA">
      <w:pPr>
        <w:widowControl/>
        <w:suppressAutoHyphens/>
        <w:spacing w:after="240"/>
        <w:ind w:left="720" w:right="720" w:firstLine="720"/>
        <w:jc w:val="both"/>
        <w:rPr>
          <w:sz w:val="24"/>
          <w:szCs w:val="24"/>
        </w:rPr>
      </w:pPr>
      <w:bookmarkStart w:id="18" w:name="_DV_M36"/>
      <w:bookmarkEnd w:id="18"/>
      <w:r>
        <w:rPr>
          <w:sz w:val="24"/>
          <w:szCs w:val="24"/>
        </w:rPr>
        <w:t>(c)</w:t>
      </w:r>
      <w:r>
        <w:rPr>
          <w:sz w:val="24"/>
          <w:szCs w:val="24"/>
        </w:rPr>
        <w:tab/>
        <w:t>The only tenant eligibility requirements or rent restrictions applicable to the Mortgaged Property or Borrower shall be those that apply to residential units pursuant to the Minimum Set-Aside Test elected by Borrower for the low-income units in the Mortgaged Property or as set forth in the Extended Use Agreement.</w:t>
      </w:r>
    </w:p>
    <w:p w:rsidR="009033FA" w:rsidRDefault="009033FA" w:rsidP="009033FA">
      <w:pPr>
        <w:widowControl/>
        <w:suppressAutoHyphens/>
        <w:spacing w:after="240"/>
        <w:ind w:left="720" w:right="720" w:firstLine="720"/>
        <w:jc w:val="both"/>
        <w:rPr>
          <w:sz w:val="24"/>
          <w:szCs w:val="24"/>
        </w:rPr>
      </w:pPr>
      <w:bookmarkStart w:id="19" w:name="_DV_M37"/>
      <w:bookmarkEnd w:id="19"/>
      <w:r>
        <w:rPr>
          <w:sz w:val="24"/>
          <w:szCs w:val="24"/>
        </w:rPr>
        <w:t>(d)</w:t>
      </w:r>
      <w:r>
        <w:rPr>
          <w:sz w:val="24"/>
          <w:szCs w:val="24"/>
        </w:rPr>
        <w:tab/>
        <w:t>Neither the Extended Use Agreement nor any other document, instrument or agreement to which Borrower is a party shall restrict, limit or waive the right of Lender to cause a termination of the Extended Use Agreement in accordance with Internal Revenue Code Section</w:t>
      </w:r>
      <w:r w:rsidR="00296F82">
        <w:rPr>
          <w:sz w:val="24"/>
          <w:szCs w:val="24"/>
        </w:rPr>
        <w:t> </w:t>
      </w:r>
      <w:r>
        <w:rPr>
          <w:sz w:val="24"/>
          <w:szCs w:val="24"/>
        </w:rPr>
        <w:t>42(h)(6)(E)(i)(I).</w:t>
      </w:r>
    </w:p>
    <w:p w:rsidR="009033FA" w:rsidRDefault="009033FA" w:rsidP="009033FA">
      <w:pPr>
        <w:widowControl/>
        <w:suppressAutoHyphens/>
        <w:spacing w:after="720"/>
        <w:ind w:left="720" w:right="720" w:firstLine="720"/>
        <w:jc w:val="both"/>
        <w:rPr>
          <w:sz w:val="24"/>
          <w:szCs w:val="24"/>
        </w:rPr>
      </w:pPr>
      <w:bookmarkStart w:id="20" w:name="_DV_M38"/>
      <w:bookmarkEnd w:id="20"/>
      <w:r>
        <w:rPr>
          <w:sz w:val="24"/>
          <w:szCs w:val="24"/>
        </w:rPr>
        <w:t>(e)</w:t>
      </w:r>
      <w:r>
        <w:rPr>
          <w:sz w:val="24"/>
          <w:szCs w:val="24"/>
        </w:rPr>
        <w:tab/>
        <w:t>All requirements that are necessary to achieve and maintain (1)</w:t>
      </w:r>
      <w:r w:rsidR="00296F82">
        <w:rPr>
          <w:sz w:val="24"/>
          <w:szCs w:val="24"/>
        </w:rPr>
        <w:t> </w:t>
      </w:r>
      <w:r>
        <w:rPr>
          <w:sz w:val="24"/>
          <w:szCs w:val="24"/>
        </w:rPr>
        <w:t>compliance with the Minimum Set-Aside Test, the Rent Restriction Test, and</w:t>
      </w:r>
      <w:r>
        <w:rPr>
          <w:b/>
          <w:sz w:val="24"/>
          <w:szCs w:val="24"/>
        </w:rPr>
        <w:t xml:space="preserve"> </w:t>
      </w:r>
      <w:r>
        <w:rPr>
          <w:sz w:val="24"/>
          <w:szCs w:val="24"/>
        </w:rPr>
        <w:t>any other requirements necessary to initially qualify, and to continue to qualify, for Tax Credits, including all applicable requirements set forth in the Extended Use Agreement, (2)</w:t>
      </w:r>
      <w:r w:rsidR="00296F82">
        <w:rPr>
          <w:sz w:val="24"/>
          <w:szCs w:val="24"/>
        </w:rPr>
        <w:t> </w:t>
      </w:r>
      <w:r>
        <w:rPr>
          <w:sz w:val="24"/>
          <w:szCs w:val="24"/>
        </w:rPr>
        <w:t>issuance and completion of each required IRS Form 8609 for the Mortgaged Property in a timely fashion and in compliance with Section</w:t>
      </w:r>
      <w:r w:rsidR="00296F82">
        <w:rPr>
          <w:szCs w:val="24"/>
        </w:rPr>
        <w:t> </w:t>
      </w:r>
      <w:r>
        <w:rPr>
          <w:sz w:val="24"/>
          <w:szCs w:val="24"/>
        </w:rPr>
        <w:t>42(</w:t>
      </w:r>
      <w:r w:rsidRPr="00296F82">
        <w:rPr>
          <w:sz w:val="24"/>
          <w:szCs w:val="24"/>
        </w:rPr>
        <w:t>l</w:t>
      </w:r>
      <w:r>
        <w:rPr>
          <w:sz w:val="24"/>
          <w:szCs w:val="24"/>
        </w:rPr>
        <w:t>) of the Internal Revenue Code, and (3)</w:t>
      </w:r>
      <w:r w:rsidR="00296F82">
        <w:rPr>
          <w:sz w:val="24"/>
          <w:szCs w:val="24"/>
        </w:rPr>
        <w:t> </w:t>
      </w:r>
      <w:r>
        <w:rPr>
          <w:sz w:val="24"/>
          <w:szCs w:val="24"/>
        </w:rPr>
        <w:t>issuance of all necessary permanent, unconditional certificates of occupancy, including all governmental approvals required to permit occupancy of all the units, shall be met at all times during which such requirements are required to be met to qualify for the full amount of the anticipated Tax Credits.</w:t>
      </w:r>
    </w:p>
    <w:p w:rsidR="007E425F" w:rsidRPr="00AC7CCE" w:rsidRDefault="007E425F" w:rsidP="00895E42">
      <w:pPr>
        <w:widowControl/>
        <w:ind w:left="5760"/>
        <w:jc w:val="both"/>
        <w:rPr>
          <w:sz w:val="24"/>
          <w:szCs w:val="24"/>
        </w:rPr>
      </w:pPr>
      <w:r w:rsidRPr="00AC7CCE">
        <w:rPr>
          <w:sz w:val="24"/>
          <w:szCs w:val="24"/>
        </w:rPr>
        <w:t>____________________</w:t>
      </w:r>
    </w:p>
    <w:p w:rsidR="007E425F" w:rsidRPr="00AC7CCE" w:rsidRDefault="007E425F" w:rsidP="00895E42">
      <w:pPr>
        <w:widowControl/>
        <w:tabs>
          <w:tab w:val="left" w:pos="-720"/>
        </w:tabs>
        <w:suppressAutoHyphens/>
        <w:spacing w:after="960"/>
        <w:ind w:left="5760"/>
        <w:jc w:val="both"/>
        <w:rPr>
          <w:sz w:val="24"/>
          <w:szCs w:val="24"/>
        </w:rPr>
      </w:pPr>
      <w:r w:rsidRPr="00AC7CCE">
        <w:rPr>
          <w:sz w:val="24"/>
          <w:szCs w:val="24"/>
        </w:rPr>
        <w:t>Borrower Initials</w:t>
      </w:r>
    </w:p>
    <w:sectPr w:rsidR="007E425F" w:rsidRPr="00AC7CCE" w:rsidSect="00C72F0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279" w:rsidRDefault="00087279">
      <w:pPr>
        <w:spacing w:line="20" w:lineRule="exact"/>
        <w:rPr>
          <w:sz w:val="24"/>
        </w:rPr>
      </w:pPr>
    </w:p>
  </w:endnote>
  <w:endnote w:type="continuationSeparator" w:id="0">
    <w:p w:rsidR="00087279" w:rsidRDefault="00087279">
      <w:r>
        <w:rPr>
          <w:sz w:val="24"/>
        </w:rPr>
        <w:t xml:space="preserve"> </w:t>
      </w:r>
    </w:p>
  </w:endnote>
  <w:endnote w:type="continuationNotice" w:id="1">
    <w:p w:rsidR="00087279" w:rsidRDefault="0008727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Kino MT">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9D" w:rsidRDefault="00A72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3E4" w:rsidRDefault="00D533E4" w:rsidP="002B01DF"/>
  <w:tbl>
    <w:tblPr>
      <w:tblW w:w="9690" w:type="dxa"/>
      <w:tblInd w:w="-90" w:type="dxa"/>
      <w:tblLook w:val="01E0" w:firstRow="1" w:lastRow="1" w:firstColumn="1" w:lastColumn="1" w:noHBand="0" w:noVBand="0"/>
    </w:tblPr>
    <w:tblGrid>
      <w:gridCol w:w="4038"/>
      <w:gridCol w:w="2460"/>
      <w:gridCol w:w="3192"/>
    </w:tblGrid>
    <w:tr w:rsidR="00A94049" w:rsidTr="00A94049">
      <w:tc>
        <w:tcPr>
          <w:tcW w:w="4038" w:type="dxa"/>
          <w:shd w:val="clear" w:color="auto" w:fill="auto"/>
          <w:vAlign w:val="bottom"/>
        </w:tcPr>
        <w:p w:rsidR="00A94049" w:rsidRPr="00750C47" w:rsidRDefault="00A94049" w:rsidP="004A7ACA">
          <w:pPr>
            <w:pStyle w:val="Footer"/>
            <w:rPr>
              <w:b/>
            </w:rPr>
          </w:pPr>
          <w:r w:rsidRPr="00750C47">
            <w:rPr>
              <w:b/>
            </w:rPr>
            <w:t>Modifications to Multifamily Loan and Security Agreement (Tax Credit Properties</w:t>
          </w:r>
          <w:r>
            <w:rPr>
              <w:b/>
            </w:rPr>
            <w:t xml:space="preserve"> </w:t>
          </w:r>
          <w:r w:rsidR="004A7ACA">
            <w:rPr>
              <w:b/>
            </w:rPr>
            <w:t xml:space="preserve">- </w:t>
          </w:r>
          <w:r>
            <w:rPr>
              <w:b/>
            </w:rPr>
            <w:t>No Equity Investor)</w:t>
          </w:r>
        </w:p>
      </w:tc>
      <w:tc>
        <w:tcPr>
          <w:tcW w:w="2460" w:type="dxa"/>
          <w:shd w:val="clear" w:color="auto" w:fill="auto"/>
          <w:vAlign w:val="bottom"/>
        </w:tcPr>
        <w:p w:rsidR="00A94049" w:rsidRPr="00750C47" w:rsidRDefault="00A94049" w:rsidP="007333EB">
          <w:pPr>
            <w:pStyle w:val="Footer"/>
            <w:jc w:val="center"/>
            <w:rPr>
              <w:b/>
            </w:rPr>
          </w:pPr>
          <w:r>
            <w:rPr>
              <w:b/>
            </w:rPr>
            <w:t>Form 621</w:t>
          </w:r>
          <w:r w:rsidR="00965904">
            <w:rPr>
              <w:b/>
            </w:rPr>
            <w:t>9.</w:t>
          </w:r>
          <w:r w:rsidR="007333EB">
            <w:rPr>
              <w:b/>
            </w:rPr>
            <w:t>ALT</w:t>
          </w:r>
        </w:p>
      </w:tc>
      <w:tc>
        <w:tcPr>
          <w:tcW w:w="3192" w:type="dxa"/>
          <w:shd w:val="clear" w:color="auto" w:fill="auto"/>
          <w:vAlign w:val="bottom"/>
        </w:tcPr>
        <w:p w:rsidR="00A94049" w:rsidRPr="00750C47" w:rsidRDefault="00A94049" w:rsidP="00A94049">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sidR="00A72C9D">
            <w:rPr>
              <w:rStyle w:val="PageNumber"/>
              <w:b/>
              <w:noProof/>
            </w:rPr>
            <w:t>2</w:t>
          </w:r>
          <w:r w:rsidRPr="00750C47">
            <w:rPr>
              <w:rStyle w:val="PageNumber"/>
              <w:b/>
            </w:rPr>
            <w:fldChar w:fldCharType="end"/>
          </w:r>
        </w:p>
      </w:tc>
    </w:tr>
    <w:tr w:rsidR="00D533E4" w:rsidTr="00A94049">
      <w:tc>
        <w:tcPr>
          <w:tcW w:w="4038" w:type="dxa"/>
          <w:shd w:val="clear" w:color="auto" w:fill="auto"/>
          <w:vAlign w:val="bottom"/>
        </w:tcPr>
        <w:p w:rsidR="00D533E4" w:rsidRPr="00750C47" w:rsidRDefault="00D533E4" w:rsidP="002B01DF">
          <w:pPr>
            <w:pStyle w:val="Footer"/>
            <w:rPr>
              <w:b/>
            </w:rPr>
          </w:pPr>
          <w:r w:rsidRPr="00750C47">
            <w:rPr>
              <w:b/>
            </w:rPr>
            <w:t>Fannie Mae</w:t>
          </w:r>
        </w:p>
      </w:tc>
      <w:tc>
        <w:tcPr>
          <w:tcW w:w="2460" w:type="dxa"/>
          <w:shd w:val="clear" w:color="auto" w:fill="auto"/>
          <w:vAlign w:val="bottom"/>
        </w:tcPr>
        <w:p w:rsidR="00D533E4" w:rsidRPr="00750C47" w:rsidRDefault="004C5476" w:rsidP="0090412F">
          <w:pPr>
            <w:pStyle w:val="Footer"/>
            <w:jc w:val="center"/>
            <w:rPr>
              <w:b/>
            </w:rPr>
          </w:pPr>
          <w:r>
            <w:rPr>
              <w:b/>
            </w:rPr>
            <w:t>06-16</w:t>
          </w:r>
        </w:p>
      </w:tc>
      <w:tc>
        <w:tcPr>
          <w:tcW w:w="3192" w:type="dxa"/>
          <w:shd w:val="clear" w:color="auto" w:fill="auto"/>
          <w:vAlign w:val="bottom"/>
        </w:tcPr>
        <w:p w:rsidR="00D533E4" w:rsidRPr="00750C47" w:rsidRDefault="00D533E4" w:rsidP="00A94049">
          <w:pPr>
            <w:pStyle w:val="Footer"/>
            <w:jc w:val="right"/>
            <w:rPr>
              <w:b/>
            </w:rPr>
          </w:pPr>
          <w:r w:rsidRPr="00750C47">
            <w:rPr>
              <w:b/>
            </w:rPr>
            <w:t>© 201</w:t>
          </w:r>
          <w:r w:rsidR="00965904">
            <w:rPr>
              <w:b/>
            </w:rPr>
            <w:t>6</w:t>
          </w:r>
          <w:r w:rsidRPr="00750C47">
            <w:rPr>
              <w:b/>
            </w:rPr>
            <w:t xml:space="preserve"> Fannie Mae</w:t>
          </w:r>
        </w:p>
      </w:tc>
    </w:tr>
  </w:tbl>
  <w:p w:rsidR="00D533E4" w:rsidRPr="002B01DF" w:rsidRDefault="00D533E4" w:rsidP="002B01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3E4" w:rsidRDefault="00D533E4" w:rsidP="002B01DF"/>
  <w:tbl>
    <w:tblPr>
      <w:tblW w:w="9690" w:type="dxa"/>
      <w:tblInd w:w="-90" w:type="dxa"/>
      <w:tblLook w:val="01E0" w:firstRow="1" w:lastRow="1" w:firstColumn="1" w:lastColumn="1" w:noHBand="0" w:noVBand="0"/>
    </w:tblPr>
    <w:tblGrid>
      <w:gridCol w:w="4038"/>
      <w:gridCol w:w="2460"/>
      <w:gridCol w:w="3192"/>
    </w:tblGrid>
    <w:tr w:rsidR="00D533E4" w:rsidTr="00A94049">
      <w:tc>
        <w:tcPr>
          <w:tcW w:w="4038" w:type="dxa"/>
          <w:shd w:val="clear" w:color="auto" w:fill="auto"/>
          <w:vAlign w:val="bottom"/>
        </w:tcPr>
        <w:p w:rsidR="00D533E4" w:rsidRPr="00750C47" w:rsidRDefault="00D533E4" w:rsidP="004A7ACA">
          <w:pPr>
            <w:pStyle w:val="Footer"/>
            <w:rPr>
              <w:b/>
            </w:rPr>
          </w:pPr>
          <w:r w:rsidRPr="00750C47">
            <w:rPr>
              <w:b/>
            </w:rPr>
            <w:t>Modifications to Multifamily Loan and Security Agreement (Tax Credit Properties</w:t>
          </w:r>
          <w:r w:rsidR="00A94049">
            <w:rPr>
              <w:b/>
            </w:rPr>
            <w:t xml:space="preserve"> </w:t>
          </w:r>
          <w:r w:rsidR="004A7ACA">
            <w:rPr>
              <w:b/>
            </w:rPr>
            <w:t xml:space="preserve">- </w:t>
          </w:r>
          <w:r w:rsidR="00A94049">
            <w:rPr>
              <w:b/>
            </w:rPr>
            <w:t>No Equity Investor)</w:t>
          </w:r>
        </w:p>
      </w:tc>
      <w:tc>
        <w:tcPr>
          <w:tcW w:w="2460" w:type="dxa"/>
          <w:shd w:val="clear" w:color="auto" w:fill="auto"/>
          <w:vAlign w:val="bottom"/>
        </w:tcPr>
        <w:p w:rsidR="00D533E4" w:rsidRPr="00750C47" w:rsidRDefault="00A94049" w:rsidP="007333EB">
          <w:pPr>
            <w:pStyle w:val="Footer"/>
            <w:jc w:val="center"/>
            <w:rPr>
              <w:b/>
            </w:rPr>
          </w:pPr>
          <w:r>
            <w:rPr>
              <w:b/>
            </w:rPr>
            <w:t>Form 62</w:t>
          </w:r>
          <w:r w:rsidR="00965904">
            <w:rPr>
              <w:b/>
            </w:rPr>
            <w:t>19.</w:t>
          </w:r>
          <w:r w:rsidR="007333EB">
            <w:rPr>
              <w:b/>
            </w:rPr>
            <w:t>ALT</w:t>
          </w:r>
        </w:p>
      </w:tc>
      <w:tc>
        <w:tcPr>
          <w:tcW w:w="3192" w:type="dxa"/>
          <w:shd w:val="clear" w:color="auto" w:fill="auto"/>
          <w:vAlign w:val="bottom"/>
        </w:tcPr>
        <w:p w:rsidR="00D533E4" w:rsidRPr="00750C47" w:rsidRDefault="00D533E4" w:rsidP="00750C47">
          <w:pPr>
            <w:pStyle w:val="Footer"/>
            <w:jc w:val="right"/>
            <w:rPr>
              <w:b/>
            </w:rPr>
          </w:pPr>
          <w:r w:rsidRPr="00750C47">
            <w:rPr>
              <w:b/>
            </w:rPr>
            <w:t xml:space="preserve">Page </w:t>
          </w:r>
          <w:r w:rsidR="00DD2842" w:rsidRPr="00750C47">
            <w:rPr>
              <w:rStyle w:val="PageNumber"/>
              <w:b/>
            </w:rPr>
            <w:fldChar w:fldCharType="begin"/>
          </w:r>
          <w:r w:rsidRPr="00750C47">
            <w:rPr>
              <w:rStyle w:val="PageNumber"/>
              <w:b/>
            </w:rPr>
            <w:instrText xml:space="preserve"> PAGE </w:instrText>
          </w:r>
          <w:r w:rsidR="00DD2842" w:rsidRPr="00750C47">
            <w:rPr>
              <w:rStyle w:val="PageNumber"/>
              <w:b/>
            </w:rPr>
            <w:fldChar w:fldCharType="separate"/>
          </w:r>
          <w:r w:rsidR="00A72C9D">
            <w:rPr>
              <w:rStyle w:val="PageNumber"/>
              <w:b/>
              <w:noProof/>
            </w:rPr>
            <w:t>1</w:t>
          </w:r>
          <w:r w:rsidR="00DD2842" w:rsidRPr="00750C47">
            <w:rPr>
              <w:rStyle w:val="PageNumber"/>
              <w:b/>
            </w:rPr>
            <w:fldChar w:fldCharType="end"/>
          </w:r>
        </w:p>
      </w:tc>
    </w:tr>
    <w:tr w:rsidR="00D533E4" w:rsidTr="00A94049">
      <w:tc>
        <w:tcPr>
          <w:tcW w:w="4038" w:type="dxa"/>
          <w:shd w:val="clear" w:color="auto" w:fill="auto"/>
          <w:vAlign w:val="bottom"/>
        </w:tcPr>
        <w:p w:rsidR="00D533E4" w:rsidRPr="00750C47" w:rsidRDefault="00D533E4" w:rsidP="002B01DF">
          <w:pPr>
            <w:pStyle w:val="Footer"/>
            <w:rPr>
              <w:b/>
            </w:rPr>
          </w:pPr>
          <w:r w:rsidRPr="00750C47">
            <w:rPr>
              <w:b/>
            </w:rPr>
            <w:t>Fannie Mae</w:t>
          </w:r>
        </w:p>
      </w:tc>
      <w:tc>
        <w:tcPr>
          <w:tcW w:w="2460" w:type="dxa"/>
          <w:shd w:val="clear" w:color="auto" w:fill="auto"/>
          <w:vAlign w:val="bottom"/>
        </w:tcPr>
        <w:p w:rsidR="00D533E4" w:rsidRPr="00750C47" w:rsidRDefault="004C5476" w:rsidP="0090412F">
          <w:pPr>
            <w:pStyle w:val="Footer"/>
            <w:jc w:val="center"/>
            <w:rPr>
              <w:b/>
            </w:rPr>
          </w:pPr>
          <w:r>
            <w:rPr>
              <w:b/>
            </w:rPr>
            <w:t>06-16</w:t>
          </w:r>
        </w:p>
      </w:tc>
      <w:tc>
        <w:tcPr>
          <w:tcW w:w="3192" w:type="dxa"/>
          <w:shd w:val="clear" w:color="auto" w:fill="auto"/>
          <w:vAlign w:val="bottom"/>
        </w:tcPr>
        <w:p w:rsidR="00D533E4" w:rsidRPr="00750C47" w:rsidRDefault="00D533E4" w:rsidP="00A94049">
          <w:pPr>
            <w:pStyle w:val="Footer"/>
            <w:jc w:val="right"/>
            <w:rPr>
              <w:b/>
            </w:rPr>
          </w:pPr>
          <w:r>
            <w:rPr>
              <w:b/>
            </w:rPr>
            <w:t>© 201</w:t>
          </w:r>
          <w:r w:rsidR="00965904">
            <w:rPr>
              <w:b/>
            </w:rPr>
            <w:t>6</w:t>
          </w:r>
          <w:r w:rsidRPr="00750C47">
            <w:rPr>
              <w:b/>
            </w:rPr>
            <w:t xml:space="preserve"> Fannie Mae</w:t>
          </w:r>
        </w:p>
      </w:tc>
    </w:tr>
  </w:tbl>
  <w:p w:rsidR="00D533E4" w:rsidRPr="002B01DF" w:rsidRDefault="00D533E4" w:rsidP="002B0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279" w:rsidRDefault="00087279">
      <w:r>
        <w:rPr>
          <w:sz w:val="24"/>
        </w:rPr>
        <w:separator/>
      </w:r>
    </w:p>
  </w:footnote>
  <w:footnote w:type="continuationSeparator" w:id="0">
    <w:p w:rsidR="00087279" w:rsidRDefault="00087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9D" w:rsidRDefault="00A72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9D" w:rsidRDefault="00A72C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9D" w:rsidRDefault="00A72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2B64"/>
    <w:multiLevelType w:val="hybridMultilevel"/>
    <w:tmpl w:val="B1EC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1D"/>
    <w:rsid w:val="00004F6C"/>
    <w:rsid w:val="00017C3C"/>
    <w:rsid w:val="00047547"/>
    <w:rsid w:val="000535F0"/>
    <w:rsid w:val="00063644"/>
    <w:rsid w:val="000641BB"/>
    <w:rsid w:val="00065318"/>
    <w:rsid w:val="000734AD"/>
    <w:rsid w:val="00074258"/>
    <w:rsid w:val="00074E86"/>
    <w:rsid w:val="00080A84"/>
    <w:rsid w:val="000831AC"/>
    <w:rsid w:val="00087279"/>
    <w:rsid w:val="00093265"/>
    <w:rsid w:val="00093EE6"/>
    <w:rsid w:val="00095982"/>
    <w:rsid w:val="000A05F6"/>
    <w:rsid w:val="000A21E8"/>
    <w:rsid w:val="000B421B"/>
    <w:rsid w:val="000B521B"/>
    <w:rsid w:val="000C0BC9"/>
    <w:rsid w:val="000C7E3E"/>
    <w:rsid w:val="000E3BA1"/>
    <w:rsid w:val="000E4E18"/>
    <w:rsid w:val="000E69C3"/>
    <w:rsid w:val="000E6CC4"/>
    <w:rsid w:val="001004C4"/>
    <w:rsid w:val="0010500D"/>
    <w:rsid w:val="001175CA"/>
    <w:rsid w:val="00164F80"/>
    <w:rsid w:val="001658F9"/>
    <w:rsid w:val="0016728A"/>
    <w:rsid w:val="001755B5"/>
    <w:rsid w:val="00183EE5"/>
    <w:rsid w:val="00186461"/>
    <w:rsid w:val="00196DC5"/>
    <w:rsid w:val="001A37EB"/>
    <w:rsid w:val="001C2D5B"/>
    <w:rsid w:val="001D5114"/>
    <w:rsid w:val="001E0AEC"/>
    <w:rsid w:val="001E1DB5"/>
    <w:rsid w:val="001F4A47"/>
    <w:rsid w:val="001F7B96"/>
    <w:rsid w:val="00207E55"/>
    <w:rsid w:val="0021480F"/>
    <w:rsid w:val="00226D9E"/>
    <w:rsid w:val="002313A3"/>
    <w:rsid w:val="002326D6"/>
    <w:rsid w:val="00241811"/>
    <w:rsid w:val="002544C5"/>
    <w:rsid w:val="002650C3"/>
    <w:rsid w:val="00267B8A"/>
    <w:rsid w:val="00280E20"/>
    <w:rsid w:val="00285A66"/>
    <w:rsid w:val="00287B1A"/>
    <w:rsid w:val="00294B49"/>
    <w:rsid w:val="00296F82"/>
    <w:rsid w:val="002A13E0"/>
    <w:rsid w:val="002B01DF"/>
    <w:rsid w:val="002B1CB0"/>
    <w:rsid w:val="002B505C"/>
    <w:rsid w:val="002C306C"/>
    <w:rsid w:val="002C30C1"/>
    <w:rsid w:val="002E0F2E"/>
    <w:rsid w:val="002E7250"/>
    <w:rsid w:val="003060A7"/>
    <w:rsid w:val="00326D36"/>
    <w:rsid w:val="00335549"/>
    <w:rsid w:val="00337102"/>
    <w:rsid w:val="0035097E"/>
    <w:rsid w:val="00365633"/>
    <w:rsid w:val="00374DD5"/>
    <w:rsid w:val="00384588"/>
    <w:rsid w:val="003903A7"/>
    <w:rsid w:val="003A4A6D"/>
    <w:rsid w:val="003B5888"/>
    <w:rsid w:val="003E645E"/>
    <w:rsid w:val="003F362D"/>
    <w:rsid w:val="003F7C2D"/>
    <w:rsid w:val="004005D5"/>
    <w:rsid w:val="00403C24"/>
    <w:rsid w:val="00405D80"/>
    <w:rsid w:val="004153DB"/>
    <w:rsid w:val="00420FD3"/>
    <w:rsid w:val="004519F6"/>
    <w:rsid w:val="00453C76"/>
    <w:rsid w:val="00454F9B"/>
    <w:rsid w:val="00461FDC"/>
    <w:rsid w:val="00463CD9"/>
    <w:rsid w:val="00473651"/>
    <w:rsid w:val="00494F7D"/>
    <w:rsid w:val="004A42FD"/>
    <w:rsid w:val="004A70CF"/>
    <w:rsid w:val="004A7ACA"/>
    <w:rsid w:val="004C5476"/>
    <w:rsid w:val="004D1522"/>
    <w:rsid w:val="004D2E15"/>
    <w:rsid w:val="004D37B9"/>
    <w:rsid w:val="004D4164"/>
    <w:rsid w:val="004F7854"/>
    <w:rsid w:val="00514862"/>
    <w:rsid w:val="00524DC9"/>
    <w:rsid w:val="0052661D"/>
    <w:rsid w:val="005320BF"/>
    <w:rsid w:val="00540AC0"/>
    <w:rsid w:val="00556F42"/>
    <w:rsid w:val="00562472"/>
    <w:rsid w:val="005626A4"/>
    <w:rsid w:val="00580351"/>
    <w:rsid w:val="005974BE"/>
    <w:rsid w:val="005A71EC"/>
    <w:rsid w:val="005B4ABA"/>
    <w:rsid w:val="005C0631"/>
    <w:rsid w:val="005D077A"/>
    <w:rsid w:val="005D4B5F"/>
    <w:rsid w:val="005E301A"/>
    <w:rsid w:val="005E3346"/>
    <w:rsid w:val="005E7848"/>
    <w:rsid w:val="00602D94"/>
    <w:rsid w:val="00603232"/>
    <w:rsid w:val="00607F17"/>
    <w:rsid w:val="00612556"/>
    <w:rsid w:val="006154AA"/>
    <w:rsid w:val="006340B5"/>
    <w:rsid w:val="00636D9C"/>
    <w:rsid w:val="00652D9D"/>
    <w:rsid w:val="006537F5"/>
    <w:rsid w:val="0067196B"/>
    <w:rsid w:val="0067340B"/>
    <w:rsid w:val="006749F5"/>
    <w:rsid w:val="00674FE3"/>
    <w:rsid w:val="006912FD"/>
    <w:rsid w:val="006C0CF3"/>
    <w:rsid w:val="006C7411"/>
    <w:rsid w:val="006D1C89"/>
    <w:rsid w:val="006D48B2"/>
    <w:rsid w:val="006D7C97"/>
    <w:rsid w:val="006E2C7A"/>
    <w:rsid w:val="006E7C7A"/>
    <w:rsid w:val="006F260C"/>
    <w:rsid w:val="006F2FA0"/>
    <w:rsid w:val="00700B84"/>
    <w:rsid w:val="00701459"/>
    <w:rsid w:val="00705EDF"/>
    <w:rsid w:val="00710A90"/>
    <w:rsid w:val="00712EA2"/>
    <w:rsid w:val="007158C0"/>
    <w:rsid w:val="00722B31"/>
    <w:rsid w:val="007307DD"/>
    <w:rsid w:val="007315A8"/>
    <w:rsid w:val="007333EB"/>
    <w:rsid w:val="00737A1D"/>
    <w:rsid w:val="0074406E"/>
    <w:rsid w:val="00750166"/>
    <w:rsid w:val="007509CC"/>
    <w:rsid w:val="00750C47"/>
    <w:rsid w:val="00755479"/>
    <w:rsid w:val="00756684"/>
    <w:rsid w:val="00763D5C"/>
    <w:rsid w:val="00772CDF"/>
    <w:rsid w:val="0077345E"/>
    <w:rsid w:val="00785A93"/>
    <w:rsid w:val="007A2281"/>
    <w:rsid w:val="007A5280"/>
    <w:rsid w:val="007B5C84"/>
    <w:rsid w:val="007D73DB"/>
    <w:rsid w:val="007E3407"/>
    <w:rsid w:val="007E425F"/>
    <w:rsid w:val="007F09C6"/>
    <w:rsid w:val="007F1E7F"/>
    <w:rsid w:val="007F5675"/>
    <w:rsid w:val="00806D04"/>
    <w:rsid w:val="00815884"/>
    <w:rsid w:val="00821A8B"/>
    <w:rsid w:val="008253F1"/>
    <w:rsid w:val="0084192D"/>
    <w:rsid w:val="00863FD4"/>
    <w:rsid w:val="0087421D"/>
    <w:rsid w:val="008757BF"/>
    <w:rsid w:val="00881048"/>
    <w:rsid w:val="0088139C"/>
    <w:rsid w:val="00885133"/>
    <w:rsid w:val="00885DF0"/>
    <w:rsid w:val="00887CC8"/>
    <w:rsid w:val="00895E42"/>
    <w:rsid w:val="008973B2"/>
    <w:rsid w:val="008A7657"/>
    <w:rsid w:val="008B4F26"/>
    <w:rsid w:val="008D3002"/>
    <w:rsid w:val="008D4C95"/>
    <w:rsid w:val="008E1AFE"/>
    <w:rsid w:val="008E5EBA"/>
    <w:rsid w:val="008E72FB"/>
    <w:rsid w:val="008F2D45"/>
    <w:rsid w:val="009033FA"/>
    <w:rsid w:val="0090412F"/>
    <w:rsid w:val="00905265"/>
    <w:rsid w:val="00912C13"/>
    <w:rsid w:val="00914C97"/>
    <w:rsid w:val="009237D2"/>
    <w:rsid w:val="009258EE"/>
    <w:rsid w:val="00925D61"/>
    <w:rsid w:val="00926672"/>
    <w:rsid w:val="00932340"/>
    <w:rsid w:val="0094222F"/>
    <w:rsid w:val="0094252E"/>
    <w:rsid w:val="009479CC"/>
    <w:rsid w:val="009558C2"/>
    <w:rsid w:val="00960A98"/>
    <w:rsid w:val="00965904"/>
    <w:rsid w:val="00967E15"/>
    <w:rsid w:val="00971772"/>
    <w:rsid w:val="00981ABF"/>
    <w:rsid w:val="00982468"/>
    <w:rsid w:val="009864F9"/>
    <w:rsid w:val="00994CC6"/>
    <w:rsid w:val="009B4098"/>
    <w:rsid w:val="009B522E"/>
    <w:rsid w:val="009C2F3C"/>
    <w:rsid w:val="009D446F"/>
    <w:rsid w:val="009D53F5"/>
    <w:rsid w:val="009E11C7"/>
    <w:rsid w:val="009F4BBC"/>
    <w:rsid w:val="00A063AA"/>
    <w:rsid w:val="00A063BD"/>
    <w:rsid w:val="00A07282"/>
    <w:rsid w:val="00A12735"/>
    <w:rsid w:val="00A13590"/>
    <w:rsid w:val="00A17684"/>
    <w:rsid w:val="00A20AE2"/>
    <w:rsid w:val="00A22ACB"/>
    <w:rsid w:val="00A30CC2"/>
    <w:rsid w:val="00A416B5"/>
    <w:rsid w:val="00A50BE7"/>
    <w:rsid w:val="00A544DF"/>
    <w:rsid w:val="00A60E5D"/>
    <w:rsid w:val="00A6254E"/>
    <w:rsid w:val="00A6421B"/>
    <w:rsid w:val="00A72C9D"/>
    <w:rsid w:val="00A859CB"/>
    <w:rsid w:val="00A917CE"/>
    <w:rsid w:val="00A94049"/>
    <w:rsid w:val="00AB3397"/>
    <w:rsid w:val="00AB4A15"/>
    <w:rsid w:val="00AC7CCE"/>
    <w:rsid w:val="00AD6649"/>
    <w:rsid w:val="00AE09EC"/>
    <w:rsid w:val="00AE34CE"/>
    <w:rsid w:val="00AE4E7F"/>
    <w:rsid w:val="00B05CC9"/>
    <w:rsid w:val="00B06085"/>
    <w:rsid w:val="00B06974"/>
    <w:rsid w:val="00B07282"/>
    <w:rsid w:val="00B10320"/>
    <w:rsid w:val="00B111AF"/>
    <w:rsid w:val="00B12C99"/>
    <w:rsid w:val="00B2471C"/>
    <w:rsid w:val="00B25397"/>
    <w:rsid w:val="00B4695A"/>
    <w:rsid w:val="00B559C7"/>
    <w:rsid w:val="00B72D9D"/>
    <w:rsid w:val="00B72E8F"/>
    <w:rsid w:val="00B76BA0"/>
    <w:rsid w:val="00B95A4F"/>
    <w:rsid w:val="00B97EF6"/>
    <w:rsid w:val="00BB2583"/>
    <w:rsid w:val="00BB2A56"/>
    <w:rsid w:val="00BC3F92"/>
    <w:rsid w:val="00BC4E19"/>
    <w:rsid w:val="00BD130C"/>
    <w:rsid w:val="00BD5A09"/>
    <w:rsid w:val="00BE005D"/>
    <w:rsid w:val="00BE6914"/>
    <w:rsid w:val="00BF252F"/>
    <w:rsid w:val="00BF4F3A"/>
    <w:rsid w:val="00BF5EBA"/>
    <w:rsid w:val="00C004E8"/>
    <w:rsid w:val="00C0099D"/>
    <w:rsid w:val="00C14632"/>
    <w:rsid w:val="00C2617C"/>
    <w:rsid w:val="00C269BF"/>
    <w:rsid w:val="00C3265D"/>
    <w:rsid w:val="00C36623"/>
    <w:rsid w:val="00C41208"/>
    <w:rsid w:val="00C46AF7"/>
    <w:rsid w:val="00C50AB3"/>
    <w:rsid w:val="00C54481"/>
    <w:rsid w:val="00C56E26"/>
    <w:rsid w:val="00C66FC6"/>
    <w:rsid w:val="00C67001"/>
    <w:rsid w:val="00C72F00"/>
    <w:rsid w:val="00C81C2C"/>
    <w:rsid w:val="00C9317E"/>
    <w:rsid w:val="00CA2748"/>
    <w:rsid w:val="00CA6F4A"/>
    <w:rsid w:val="00CB1579"/>
    <w:rsid w:val="00CB4170"/>
    <w:rsid w:val="00CB6429"/>
    <w:rsid w:val="00CC3290"/>
    <w:rsid w:val="00CC5E54"/>
    <w:rsid w:val="00CD1C75"/>
    <w:rsid w:val="00CD43C7"/>
    <w:rsid w:val="00CD5278"/>
    <w:rsid w:val="00CE44BC"/>
    <w:rsid w:val="00CE44CE"/>
    <w:rsid w:val="00CE7781"/>
    <w:rsid w:val="00CF75CB"/>
    <w:rsid w:val="00D0746E"/>
    <w:rsid w:val="00D17562"/>
    <w:rsid w:val="00D21A5B"/>
    <w:rsid w:val="00D309B6"/>
    <w:rsid w:val="00D33448"/>
    <w:rsid w:val="00D35CA6"/>
    <w:rsid w:val="00D40C49"/>
    <w:rsid w:val="00D45A48"/>
    <w:rsid w:val="00D47473"/>
    <w:rsid w:val="00D526F7"/>
    <w:rsid w:val="00D533E4"/>
    <w:rsid w:val="00D6264A"/>
    <w:rsid w:val="00D7168C"/>
    <w:rsid w:val="00D7253A"/>
    <w:rsid w:val="00D72F5D"/>
    <w:rsid w:val="00D77589"/>
    <w:rsid w:val="00D81661"/>
    <w:rsid w:val="00D94526"/>
    <w:rsid w:val="00D94B1E"/>
    <w:rsid w:val="00DA00A9"/>
    <w:rsid w:val="00DA13CF"/>
    <w:rsid w:val="00DA686C"/>
    <w:rsid w:val="00DC7181"/>
    <w:rsid w:val="00DD2842"/>
    <w:rsid w:val="00DD462B"/>
    <w:rsid w:val="00E02C2F"/>
    <w:rsid w:val="00E10092"/>
    <w:rsid w:val="00E10BD5"/>
    <w:rsid w:val="00E11975"/>
    <w:rsid w:val="00E25537"/>
    <w:rsid w:val="00E31E51"/>
    <w:rsid w:val="00E37566"/>
    <w:rsid w:val="00E41CFA"/>
    <w:rsid w:val="00E42555"/>
    <w:rsid w:val="00E47348"/>
    <w:rsid w:val="00E47635"/>
    <w:rsid w:val="00E55C5F"/>
    <w:rsid w:val="00E56319"/>
    <w:rsid w:val="00E750F5"/>
    <w:rsid w:val="00E75F9B"/>
    <w:rsid w:val="00E85CA2"/>
    <w:rsid w:val="00E904FA"/>
    <w:rsid w:val="00E925E8"/>
    <w:rsid w:val="00EA6A6C"/>
    <w:rsid w:val="00EB096F"/>
    <w:rsid w:val="00EB46EA"/>
    <w:rsid w:val="00EC5847"/>
    <w:rsid w:val="00ED1D8D"/>
    <w:rsid w:val="00ED5675"/>
    <w:rsid w:val="00ED7B49"/>
    <w:rsid w:val="00EE3962"/>
    <w:rsid w:val="00EE3F74"/>
    <w:rsid w:val="00EF0804"/>
    <w:rsid w:val="00F340F6"/>
    <w:rsid w:val="00F34390"/>
    <w:rsid w:val="00F35E94"/>
    <w:rsid w:val="00F4204B"/>
    <w:rsid w:val="00F4474E"/>
    <w:rsid w:val="00F53D87"/>
    <w:rsid w:val="00F54AB6"/>
    <w:rsid w:val="00F55A2F"/>
    <w:rsid w:val="00F777DE"/>
    <w:rsid w:val="00F823CF"/>
    <w:rsid w:val="00F84F9E"/>
    <w:rsid w:val="00F852B3"/>
    <w:rsid w:val="00F94E9F"/>
    <w:rsid w:val="00FA3B1D"/>
    <w:rsid w:val="00FA7051"/>
    <w:rsid w:val="00FB5BA6"/>
    <w:rsid w:val="00FB5D1E"/>
    <w:rsid w:val="00FC7C3A"/>
    <w:rsid w:val="00FE33EA"/>
    <w:rsid w:val="00FE7112"/>
    <w:rsid w:val="00FF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8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35F0"/>
    <w:rPr>
      <w:sz w:val="24"/>
    </w:rPr>
  </w:style>
  <w:style w:type="character" w:styleId="EndnoteReference">
    <w:name w:val="endnote reference"/>
    <w:semiHidden/>
    <w:rsid w:val="000535F0"/>
    <w:rPr>
      <w:vertAlign w:val="superscript"/>
    </w:rPr>
  </w:style>
  <w:style w:type="paragraph" w:styleId="FootnoteText">
    <w:name w:val="footnote text"/>
    <w:basedOn w:val="Normal"/>
    <w:semiHidden/>
    <w:rsid w:val="000535F0"/>
    <w:rPr>
      <w:sz w:val="24"/>
    </w:rPr>
  </w:style>
  <w:style w:type="character" w:styleId="FootnoteReference">
    <w:name w:val="footnote reference"/>
    <w:semiHidden/>
    <w:rsid w:val="000535F0"/>
    <w:rPr>
      <w:vertAlign w:val="superscript"/>
    </w:rPr>
  </w:style>
  <w:style w:type="paragraph" w:styleId="TOC1">
    <w:name w:val="toc 1"/>
    <w:basedOn w:val="Normal"/>
    <w:next w:val="Normal"/>
    <w:semiHidden/>
    <w:rsid w:val="000535F0"/>
    <w:pPr>
      <w:tabs>
        <w:tab w:val="right" w:leader="dot" w:pos="9360"/>
      </w:tabs>
      <w:suppressAutoHyphens/>
      <w:spacing w:before="480"/>
      <w:ind w:left="720" w:right="720" w:hanging="720"/>
    </w:pPr>
  </w:style>
  <w:style w:type="paragraph" w:styleId="TOC2">
    <w:name w:val="toc 2"/>
    <w:basedOn w:val="Normal"/>
    <w:next w:val="Normal"/>
    <w:semiHidden/>
    <w:rsid w:val="000535F0"/>
    <w:pPr>
      <w:tabs>
        <w:tab w:val="right" w:leader="dot" w:pos="9360"/>
      </w:tabs>
      <w:suppressAutoHyphens/>
      <w:ind w:left="1440" w:right="720" w:hanging="720"/>
    </w:pPr>
  </w:style>
  <w:style w:type="paragraph" w:styleId="TOC3">
    <w:name w:val="toc 3"/>
    <w:basedOn w:val="Normal"/>
    <w:next w:val="Normal"/>
    <w:semiHidden/>
    <w:rsid w:val="000535F0"/>
    <w:pPr>
      <w:tabs>
        <w:tab w:val="right" w:leader="dot" w:pos="9360"/>
      </w:tabs>
      <w:suppressAutoHyphens/>
      <w:ind w:left="2160" w:right="720" w:hanging="720"/>
    </w:pPr>
  </w:style>
  <w:style w:type="paragraph" w:styleId="TOC4">
    <w:name w:val="toc 4"/>
    <w:basedOn w:val="Normal"/>
    <w:next w:val="Normal"/>
    <w:semiHidden/>
    <w:rsid w:val="000535F0"/>
    <w:pPr>
      <w:tabs>
        <w:tab w:val="right" w:leader="dot" w:pos="9360"/>
      </w:tabs>
      <w:suppressAutoHyphens/>
      <w:ind w:left="2880" w:right="720" w:hanging="720"/>
    </w:pPr>
  </w:style>
  <w:style w:type="paragraph" w:styleId="TOC5">
    <w:name w:val="toc 5"/>
    <w:basedOn w:val="Normal"/>
    <w:next w:val="Normal"/>
    <w:semiHidden/>
    <w:rsid w:val="000535F0"/>
    <w:pPr>
      <w:tabs>
        <w:tab w:val="right" w:leader="dot" w:pos="9360"/>
      </w:tabs>
      <w:suppressAutoHyphens/>
      <w:ind w:left="3600" w:right="720" w:hanging="720"/>
    </w:pPr>
  </w:style>
  <w:style w:type="paragraph" w:styleId="TOC6">
    <w:name w:val="toc 6"/>
    <w:basedOn w:val="Normal"/>
    <w:next w:val="Normal"/>
    <w:semiHidden/>
    <w:rsid w:val="000535F0"/>
    <w:pPr>
      <w:tabs>
        <w:tab w:val="right" w:pos="9360"/>
      </w:tabs>
      <w:suppressAutoHyphens/>
      <w:ind w:left="720" w:hanging="720"/>
    </w:pPr>
  </w:style>
  <w:style w:type="paragraph" w:styleId="TOC7">
    <w:name w:val="toc 7"/>
    <w:basedOn w:val="Normal"/>
    <w:next w:val="Normal"/>
    <w:semiHidden/>
    <w:rsid w:val="000535F0"/>
    <w:pPr>
      <w:suppressAutoHyphens/>
      <w:ind w:left="720" w:hanging="720"/>
    </w:pPr>
  </w:style>
  <w:style w:type="paragraph" w:styleId="TOC8">
    <w:name w:val="toc 8"/>
    <w:basedOn w:val="Normal"/>
    <w:next w:val="Normal"/>
    <w:semiHidden/>
    <w:rsid w:val="000535F0"/>
    <w:pPr>
      <w:tabs>
        <w:tab w:val="right" w:pos="9360"/>
      </w:tabs>
      <w:suppressAutoHyphens/>
      <w:ind w:left="720" w:hanging="720"/>
    </w:pPr>
  </w:style>
  <w:style w:type="paragraph" w:styleId="TOC9">
    <w:name w:val="toc 9"/>
    <w:basedOn w:val="Normal"/>
    <w:next w:val="Normal"/>
    <w:semiHidden/>
    <w:rsid w:val="000535F0"/>
    <w:pPr>
      <w:tabs>
        <w:tab w:val="right" w:leader="dot" w:pos="9360"/>
      </w:tabs>
      <w:suppressAutoHyphens/>
      <w:ind w:left="720" w:hanging="720"/>
    </w:pPr>
  </w:style>
  <w:style w:type="paragraph" w:styleId="Index1">
    <w:name w:val="index 1"/>
    <w:basedOn w:val="Normal"/>
    <w:next w:val="Normal"/>
    <w:semiHidden/>
    <w:rsid w:val="000535F0"/>
    <w:pPr>
      <w:tabs>
        <w:tab w:val="right" w:leader="dot" w:pos="9360"/>
      </w:tabs>
      <w:suppressAutoHyphens/>
      <w:ind w:left="1440" w:right="720" w:hanging="1440"/>
    </w:pPr>
  </w:style>
  <w:style w:type="paragraph" w:styleId="Index2">
    <w:name w:val="index 2"/>
    <w:basedOn w:val="Normal"/>
    <w:next w:val="Normal"/>
    <w:semiHidden/>
    <w:rsid w:val="000535F0"/>
    <w:pPr>
      <w:tabs>
        <w:tab w:val="right" w:leader="dot" w:pos="9360"/>
      </w:tabs>
      <w:suppressAutoHyphens/>
      <w:ind w:left="1440" w:right="720" w:hanging="720"/>
    </w:pPr>
  </w:style>
  <w:style w:type="paragraph" w:styleId="TOAHeading">
    <w:name w:val="toa heading"/>
    <w:basedOn w:val="Normal"/>
    <w:next w:val="Normal"/>
    <w:semiHidden/>
    <w:rsid w:val="000535F0"/>
    <w:pPr>
      <w:tabs>
        <w:tab w:val="right" w:pos="9360"/>
      </w:tabs>
      <w:suppressAutoHyphens/>
    </w:pPr>
  </w:style>
  <w:style w:type="paragraph" w:styleId="Caption">
    <w:name w:val="caption"/>
    <w:basedOn w:val="Normal"/>
    <w:next w:val="Normal"/>
    <w:qFormat/>
    <w:rsid w:val="000535F0"/>
    <w:rPr>
      <w:sz w:val="24"/>
    </w:rPr>
  </w:style>
  <w:style w:type="character" w:customStyle="1" w:styleId="EquationCaption">
    <w:name w:val="_Equation Caption"/>
    <w:rsid w:val="000535F0"/>
  </w:style>
  <w:style w:type="paragraph" w:styleId="Header">
    <w:name w:val="header"/>
    <w:basedOn w:val="Normal"/>
    <w:rsid w:val="000535F0"/>
    <w:pPr>
      <w:tabs>
        <w:tab w:val="center" w:pos="4320"/>
        <w:tab w:val="right" w:pos="8640"/>
      </w:tabs>
    </w:pPr>
  </w:style>
  <w:style w:type="paragraph" w:styleId="Footer">
    <w:name w:val="footer"/>
    <w:basedOn w:val="Normal"/>
    <w:link w:val="FooterChar"/>
    <w:rsid w:val="000535F0"/>
    <w:pPr>
      <w:tabs>
        <w:tab w:val="center" w:pos="4320"/>
        <w:tab w:val="right" w:pos="8640"/>
      </w:tabs>
    </w:pPr>
  </w:style>
  <w:style w:type="paragraph" w:styleId="BodyText2">
    <w:name w:val="Body Text 2"/>
    <w:basedOn w:val="Normal"/>
    <w:rsid w:val="000535F0"/>
    <w:pPr>
      <w:widowControl/>
      <w:tabs>
        <w:tab w:val="left" w:pos="0"/>
        <w:tab w:val="left" w:pos="720"/>
        <w:tab w:val="left" w:pos="1440"/>
      </w:tabs>
      <w:suppressAutoHyphens/>
      <w:ind w:left="2160" w:hanging="2160"/>
      <w:jc w:val="both"/>
    </w:pPr>
    <w:rPr>
      <w:spacing w:val="-2"/>
      <w:sz w:val="22"/>
    </w:rPr>
  </w:style>
  <w:style w:type="table" w:styleId="TableGrid">
    <w:name w:val="Table Grid"/>
    <w:basedOn w:val="TableNormal"/>
    <w:rsid w:val="002B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01DF"/>
  </w:style>
  <w:style w:type="paragraph" w:styleId="BalloonText">
    <w:name w:val="Balloon Text"/>
    <w:basedOn w:val="Normal"/>
    <w:semiHidden/>
    <w:rsid w:val="00B559C7"/>
    <w:rPr>
      <w:rFonts w:ascii="Tahoma" w:hAnsi="Tahoma" w:cs="Tahoma"/>
      <w:sz w:val="16"/>
      <w:szCs w:val="16"/>
    </w:rPr>
  </w:style>
  <w:style w:type="character" w:customStyle="1" w:styleId="FooterChar">
    <w:name w:val="Footer Char"/>
    <w:basedOn w:val="DefaultParagraphFont"/>
    <w:link w:val="Footer"/>
    <w:rsid w:val="00A94049"/>
  </w:style>
  <w:style w:type="character" w:customStyle="1" w:styleId="DeltaViewDeletion">
    <w:name w:val="DeltaView Deletion"/>
    <w:uiPriority w:val="99"/>
    <w:rsid w:val="009033FA"/>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943">
      <w:bodyDiv w:val="1"/>
      <w:marLeft w:val="0"/>
      <w:marRight w:val="0"/>
      <w:marTop w:val="0"/>
      <w:marBottom w:val="0"/>
      <w:divBdr>
        <w:top w:val="none" w:sz="0" w:space="0" w:color="auto"/>
        <w:left w:val="none" w:sz="0" w:space="0" w:color="auto"/>
        <w:bottom w:val="none" w:sz="0" w:space="0" w:color="auto"/>
        <w:right w:val="none" w:sz="0" w:space="0" w:color="auto"/>
      </w:divBdr>
      <w:divsChild>
        <w:div w:id="548107963">
          <w:marLeft w:val="0"/>
          <w:marRight w:val="0"/>
          <w:marTop w:val="0"/>
          <w:marBottom w:val="0"/>
          <w:divBdr>
            <w:top w:val="none" w:sz="0" w:space="0" w:color="auto"/>
            <w:left w:val="none" w:sz="0" w:space="0" w:color="auto"/>
            <w:bottom w:val="none" w:sz="0" w:space="0" w:color="auto"/>
            <w:right w:val="none" w:sz="0" w:space="0" w:color="auto"/>
          </w:divBdr>
        </w:div>
      </w:divsChild>
    </w:div>
    <w:div w:id="143157461">
      <w:bodyDiv w:val="1"/>
      <w:marLeft w:val="0"/>
      <w:marRight w:val="0"/>
      <w:marTop w:val="0"/>
      <w:marBottom w:val="0"/>
      <w:divBdr>
        <w:top w:val="none" w:sz="0" w:space="0" w:color="auto"/>
        <w:left w:val="none" w:sz="0" w:space="0" w:color="auto"/>
        <w:bottom w:val="none" w:sz="0" w:space="0" w:color="auto"/>
        <w:right w:val="none" w:sz="0" w:space="0" w:color="auto"/>
      </w:divBdr>
    </w:div>
    <w:div w:id="322586827">
      <w:bodyDiv w:val="1"/>
      <w:marLeft w:val="0"/>
      <w:marRight w:val="0"/>
      <w:marTop w:val="0"/>
      <w:marBottom w:val="0"/>
      <w:divBdr>
        <w:top w:val="none" w:sz="0" w:space="0" w:color="auto"/>
        <w:left w:val="none" w:sz="0" w:space="0" w:color="auto"/>
        <w:bottom w:val="none" w:sz="0" w:space="0" w:color="auto"/>
        <w:right w:val="none" w:sz="0" w:space="0" w:color="auto"/>
      </w:divBdr>
    </w:div>
    <w:div w:id="589890029">
      <w:bodyDiv w:val="1"/>
      <w:marLeft w:val="0"/>
      <w:marRight w:val="0"/>
      <w:marTop w:val="0"/>
      <w:marBottom w:val="0"/>
      <w:divBdr>
        <w:top w:val="none" w:sz="0" w:space="0" w:color="auto"/>
        <w:left w:val="none" w:sz="0" w:space="0" w:color="auto"/>
        <w:bottom w:val="none" w:sz="0" w:space="0" w:color="auto"/>
        <w:right w:val="none" w:sz="0" w:space="0" w:color="auto"/>
      </w:divBdr>
    </w:div>
    <w:div w:id="936139538">
      <w:bodyDiv w:val="1"/>
      <w:marLeft w:val="0"/>
      <w:marRight w:val="0"/>
      <w:marTop w:val="0"/>
      <w:marBottom w:val="0"/>
      <w:divBdr>
        <w:top w:val="none" w:sz="0" w:space="0" w:color="auto"/>
        <w:left w:val="none" w:sz="0" w:space="0" w:color="auto"/>
        <w:bottom w:val="none" w:sz="0" w:space="0" w:color="auto"/>
        <w:right w:val="none" w:sz="0" w:space="0" w:color="auto"/>
      </w:divBdr>
    </w:div>
    <w:div w:id="987905293">
      <w:bodyDiv w:val="1"/>
      <w:marLeft w:val="0"/>
      <w:marRight w:val="0"/>
      <w:marTop w:val="0"/>
      <w:marBottom w:val="0"/>
      <w:divBdr>
        <w:top w:val="none" w:sz="0" w:space="0" w:color="auto"/>
        <w:left w:val="none" w:sz="0" w:space="0" w:color="auto"/>
        <w:bottom w:val="none" w:sz="0" w:space="0" w:color="auto"/>
        <w:right w:val="none" w:sz="0" w:space="0" w:color="auto"/>
      </w:divBdr>
    </w:div>
    <w:div w:id="1152716765">
      <w:bodyDiv w:val="1"/>
      <w:marLeft w:val="0"/>
      <w:marRight w:val="0"/>
      <w:marTop w:val="0"/>
      <w:marBottom w:val="0"/>
      <w:divBdr>
        <w:top w:val="none" w:sz="0" w:space="0" w:color="auto"/>
        <w:left w:val="none" w:sz="0" w:space="0" w:color="auto"/>
        <w:bottom w:val="none" w:sz="0" w:space="0" w:color="auto"/>
        <w:right w:val="none" w:sz="0" w:space="0" w:color="auto"/>
      </w:divBdr>
    </w:div>
    <w:div w:id="1196383496">
      <w:bodyDiv w:val="1"/>
      <w:marLeft w:val="0"/>
      <w:marRight w:val="0"/>
      <w:marTop w:val="0"/>
      <w:marBottom w:val="0"/>
      <w:divBdr>
        <w:top w:val="none" w:sz="0" w:space="0" w:color="auto"/>
        <w:left w:val="none" w:sz="0" w:space="0" w:color="auto"/>
        <w:bottom w:val="none" w:sz="0" w:space="0" w:color="auto"/>
        <w:right w:val="none" w:sz="0" w:space="0" w:color="auto"/>
      </w:divBdr>
    </w:div>
    <w:div w:id="1291478429">
      <w:bodyDiv w:val="1"/>
      <w:marLeft w:val="0"/>
      <w:marRight w:val="0"/>
      <w:marTop w:val="0"/>
      <w:marBottom w:val="0"/>
      <w:divBdr>
        <w:top w:val="none" w:sz="0" w:space="0" w:color="auto"/>
        <w:left w:val="none" w:sz="0" w:space="0" w:color="auto"/>
        <w:bottom w:val="none" w:sz="0" w:space="0" w:color="auto"/>
        <w:right w:val="none" w:sz="0" w:space="0" w:color="auto"/>
      </w:divBdr>
    </w:div>
    <w:div w:id="1574315968">
      <w:bodyDiv w:val="1"/>
      <w:marLeft w:val="0"/>
      <w:marRight w:val="0"/>
      <w:marTop w:val="0"/>
      <w:marBottom w:val="0"/>
      <w:divBdr>
        <w:top w:val="none" w:sz="0" w:space="0" w:color="auto"/>
        <w:left w:val="none" w:sz="0" w:space="0" w:color="auto"/>
        <w:bottom w:val="none" w:sz="0" w:space="0" w:color="auto"/>
        <w:right w:val="none" w:sz="0" w:space="0" w:color="auto"/>
      </w:divBdr>
      <w:divsChild>
        <w:div w:id="225461926">
          <w:marLeft w:val="0"/>
          <w:marRight w:val="0"/>
          <w:marTop w:val="0"/>
          <w:marBottom w:val="0"/>
          <w:divBdr>
            <w:top w:val="none" w:sz="0" w:space="0" w:color="auto"/>
            <w:left w:val="none" w:sz="0" w:space="0" w:color="auto"/>
            <w:bottom w:val="none" w:sz="0" w:space="0" w:color="auto"/>
            <w:right w:val="none" w:sz="0" w:space="0" w:color="auto"/>
          </w:divBdr>
        </w:div>
      </w:divsChild>
    </w:div>
    <w:div w:id="1581866007">
      <w:bodyDiv w:val="1"/>
      <w:marLeft w:val="0"/>
      <w:marRight w:val="0"/>
      <w:marTop w:val="0"/>
      <w:marBottom w:val="0"/>
      <w:divBdr>
        <w:top w:val="none" w:sz="0" w:space="0" w:color="auto"/>
        <w:left w:val="none" w:sz="0" w:space="0" w:color="auto"/>
        <w:bottom w:val="none" w:sz="0" w:space="0" w:color="auto"/>
        <w:right w:val="none" w:sz="0" w:space="0" w:color="auto"/>
      </w:divBdr>
    </w:div>
    <w:div w:id="1654210809">
      <w:bodyDiv w:val="1"/>
      <w:marLeft w:val="0"/>
      <w:marRight w:val="0"/>
      <w:marTop w:val="0"/>
      <w:marBottom w:val="0"/>
      <w:divBdr>
        <w:top w:val="none" w:sz="0" w:space="0" w:color="auto"/>
        <w:left w:val="none" w:sz="0" w:space="0" w:color="auto"/>
        <w:bottom w:val="none" w:sz="0" w:space="0" w:color="auto"/>
        <w:right w:val="none" w:sz="0" w:space="0" w:color="auto"/>
      </w:divBdr>
    </w:div>
    <w:div w:id="1778402944">
      <w:bodyDiv w:val="1"/>
      <w:marLeft w:val="0"/>
      <w:marRight w:val="0"/>
      <w:marTop w:val="0"/>
      <w:marBottom w:val="0"/>
      <w:divBdr>
        <w:top w:val="none" w:sz="0" w:space="0" w:color="auto"/>
        <w:left w:val="none" w:sz="0" w:space="0" w:color="auto"/>
        <w:bottom w:val="none" w:sz="0" w:space="0" w:color="auto"/>
        <w:right w:val="none" w:sz="0" w:space="0" w:color="auto"/>
      </w:divBdr>
    </w:div>
    <w:div w:id="1788767432">
      <w:bodyDiv w:val="1"/>
      <w:marLeft w:val="0"/>
      <w:marRight w:val="0"/>
      <w:marTop w:val="0"/>
      <w:marBottom w:val="0"/>
      <w:divBdr>
        <w:top w:val="none" w:sz="0" w:space="0" w:color="auto"/>
        <w:left w:val="none" w:sz="0" w:space="0" w:color="auto"/>
        <w:bottom w:val="none" w:sz="0" w:space="0" w:color="auto"/>
        <w:right w:val="none" w:sz="0" w:space="0" w:color="auto"/>
      </w:divBdr>
    </w:div>
    <w:div w:id="1979606116">
      <w:bodyDiv w:val="1"/>
      <w:marLeft w:val="0"/>
      <w:marRight w:val="0"/>
      <w:marTop w:val="0"/>
      <w:marBottom w:val="0"/>
      <w:divBdr>
        <w:top w:val="none" w:sz="0" w:space="0" w:color="auto"/>
        <w:left w:val="none" w:sz="0" w:space="0" w:color="auto"/>
        <w:bottom w:val="none" w:sz="0" w:space="0" w:color="auto"/>
        <w:right w:val="none" w:sz="0" w:space="0" w:color="auto"/>
      </w:divBdr>
    </w:div>
    <w:div w:id="1983004425">
      <w:bodyDiv w:val="1"/>
      <w:marLeft w:val="0"/>
      <w:marRight w:val="0"/>
      <w:marTop w:val="0"/>
      <w:marBottom w:val="0"/>
      <w:divBdr>
        <w:top w:val="none" w:sz="0" w:space="0" w:color="auto"/>
        <w:left w:val="none" w:sz="0" w:space="0" w:color="auto"/>
        <w:bottom w:val="none" w:sz="0" w:space="0" w:color="auto"/>
        <w:right w:val="none" w:sz="0" w:space="0" w:color="auto"/>
      </w:divBdr>
    </w:div>
    <w:div w:id="2117290200">
      <w:bodyDiv w:val="1"/>
      <w:marLeft w:val="0"/>
      <w:marRight w:val="0"/>
      <w:marTop w:val="0"/>
      <w:marBottom w:val="0"/>
      <w:divBdr>
        <w:top w:val="none" w:sz="0" w:space="0" w:color="auto"/>
        <w:left w:val="none" w:sz="0" w:space="0" w:color="auto"/>
        <w:bottom w:val="none" w:sz="0" w:space="0" w:color="auto"/>
        <w:right w:val="none" w:sz="0" w:space="0" w:color="auto"/>
      </w:divBdr>
    </w:div>
    <w:div w:id="21419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5763</Characters>
  <Application>Microsoft Office Word</Application>
  <DocSecurity>0</DocSecurity>
  <Lines>115</Lines>
  <Paragraphs>58</Paragraphs>
  <ScaleCrop>false</ScaleCrop>
  <HeadingPairs>
    <vt:vector size="2" baseType="variant">
      <vt:variant>
        <vt:lpstr>Title</vt:lpstr>
      </vt:variant>
      <vt:variant>
        <vt:i4>1</vt:i4>
      </vt:variant>
    </vt:vector>
  </HeadingPairs>
  <TitlesOfParts>
    <vt:vector size="1" baseType="lpstr">
      <vt:lpstr>6219.alt</vt:lpstr>
    </vt:vector>
  </TitlesOfParts>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6219.alt</dc:title>
  <dc:subject>Modifications to Multifamily Loan and Security Agreement (Tax Credit PRoperties - No Equity Investor)</dc:subject>
  <dc:creator/>
  <cp:keywords/>
  <cp:lastModifiedBy/>
  <cp:revision>1</cp:revision>
  <dcterms:created xsi:type="dcterms:W3CDTF">2016-05-27T18:26:00Z</dcterms:created>
  <dcterms:modified xsi:type="dcterms:W3CDTF">2016-05-27T18:27:00Z</dcterms:modified>
</cp:coreProperties>
</file>