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E8237" w14:textId="58013C0B" w:rsidR="003144EC" w:rsidRDefault="003144EC" w:rsidP="00632834">
      <w:pPr>
        <w:widowControl/>
        <w:suppressAutoHyphens/>
        <w:spacing w:after="240"/>
        <w:jc w:val="both"/>
        <w:rPr>
          <w:b/>
          <w:sz w:val="24"/>
          <w:szCs w:val="24"/>
          <w:u w:color="0000FF"/>
        </w:rPr>
      </w:pPr>
      <w:bookmarkStart w:id="0" w:name="_cp_change_1"/>
      <w:r w:rsidRPr="003144EC">
        <w:rPr>
          <w:b/>
          <w:sz w:val="24"/>
          <w:szCs w:val="24"/>
          <w:u w:color="0000FF"/>
        </w:rPr>
        <w:t>[DRAFTING NOTE:  THIS FORM 6219.ALT IS FOR USE IN TAX CREDI</w:t>
      </w:r>
      <w:r>
        <w:rPr>
          <w:b/>
          <w:sz w:val="24"/>
          <w:szCs w:val="24"/>
          <w:u w:color="0000FF"/>
        </w:rPr>
        <w:t>T</w:t>
      </w:r>
      <w:r w:rsidRPr="003144EC">
        <w:rPr>
          <w:b/>
          <w:sz w:val="24"/>
          <w:szCs w:val="24"/>
          <w:u w:color="0000FF"/>
        </w:rPr>
        <w:t xml:space="preserve"> TRANSACTIONS WHEN THERE IS NO EQUITY INVESTOR. </w:t>
      </w:r>
      <w:r>
        <w:rPr>
          <w:b/>
          <w:sz w:val="24"/>
          <w:szCs w:val="24"/>
          <w:u w:color="0000FF"/>
        </w:rPr>
        <w:t xml:space="preserve"> </w:t>
      </w:r>
      <w:r w:rsidRPr="003144EC">
        <w:rPr>
          <w:b/>
          <w:sz w:val="24"/>
          <w:szCs w:val="24"/>
          <w:u w:color="0000FF"/>
        </w:rPr>
        <w:t>USE FORM 6219 IF THERE IS AN EQUITY INVESTOR</w:t>
      </w:r>
      <w:r>
        <w:rPr>
          <w:b/>
          <w:sz w:val="24"/>
          <w:szCs w:val="24"/>
          <w:u w:color="0000FF"/>
        </w:rPr>
        <w:t>.</w:t>
      </w:r>
      <w:r w:rsidRPr="003144EC">
        <w:rPr>
          <w:b/>
          <w:sz w:val="24"/>
          <w:szCs w:val="24"/>
          <w:u w:color="0000FF"/>
        </w:rPr>
        <w:t>]</w:t>
      </w:r>
    </w:p>
    <w:p w14:paraId="2D08181F" w14:textId="2A104BF3" w:rsidR="006C01E3" w:rsidRPr="00CC43C2" w:rsidRDefault="00F12FD9" w:rsidP="00632834">
      <w:pPr>
        <w:widowControl/>
        <w:suppressAutoHyphens/>
        <w:spacing w:after="240"/>
        <w:jc w:val="both"/>
        <w:rPr>
          <w:b/>
          <w:sz w:val="24"/>
          <w:szCs w:val="24"/>
        </w:rPr>
      </w:pPr>
      <w:r>
        <w:rPr>
          <w:b/>
          <w:sz w:val="24"/>
          <w:szCs w:val="24"/>
          <w:u w:color="0000FF"/>
        </w:rPr>
        <w:t>[</w:t>
      </w:r>
      <w:r w:rsidR="006C01E3" w:rsidRPr="00CC43C2">
        <w:rPr>
          <w:b/>
          <w:sz w:val="24"/>
          <w:szCs w:val="24"/>
          <w:u w:color="0000FF"/>
        </w:rPr>
        <w:t>FANNIE MAE CREDIT TEAM MUST APPROVE THE EXTENDED USE AGREEMENT (OR THE FORM OF ANY EXTENDED USE AGREEMENT TO BE RECORDED AFTER THE EFFECTIVE DATE)]</w:t>
      </w:r>
      <w:bookmarkStart w:id="1" w:name="_cp_change_0"/>
      <w:bookmarkEnd w:id="0"/>
    </w:p>
    <w:p w14:paraId="693ECEE2" w14:textId="450879D5" w:rsidR="006C01E3" w:rsidRPr="00CC43C2" w:rsidRDefault="006C01E3" w:rsidP="00632834">
      <w:pPr>
        <w:pStyle w:val="Header"/>
        <w:spacing w:after="360"/>
        <w:jc w:val="both"/>
        <w:rPr>
          <w:b/>
          <w:sz w:val="24"/>
          <w:szCs w:val="24"/>
        </w:rPr>
      </w:pPr>
      <w:bookmarkStart w:id="2" w:name="_cp_change_3"/>
      <w:bookmarkEnd w:id="1"/>
      <w:r w:rsidRPr="00CC43C2">
        <w:rPr>
          <w:b/>
          <w:sz w:val="24"/>
          <w:szCs w:val="24"/>
          <w:u w:color="0000FF"/>
        </w:rPr>
        <w:t xml:space="preserve">[DRAFTING NOTE:  IN THE EVENT THAT LENDER DETERMINES THAT THE EXTENDED USE AGREEMENT, OR NEW EXTENDED USE AGREEMENT, AS APPLICABLE, DOES NOT COMPLY WITH LENDER’S UNDERWRITING AND SERVICING REQUIREMENTS, THE EXTENDED USE AGREEMENT MUST BE SUBORDINATED IN FORM REQUIRED BY FANNIE MAE.  IN THE EVENT THAT A SUBORDINATION OF THE EXTENDED USE AGREEMENT CANNOT BE OBTAINED, A STANDSTILL AGREEMENT MUST BE ENTERED INTO IN FORM REQUIRED BY FANNIE MAE.  IF AN EXTENDED USE AGREEMENT WILL BE RECORDED POST-CLOSING PURSUANT TO </w:t>
      </w:r>
      <w:r w:rsidRPr="007834AB">
        <w:rPr>
          <w:b/>
          <w:sz w:val="24"/>
          <w:szCs w:val="24"/>
          <w:u w:color="0000FF"/>
        </w:rPr>
        <w:t>[__</w:t>
      </w:r>
      <w:r w:rsidR="00F12FD9" w:rsidRPr="007834AB">
        <w:rPr>
          <w:b/>
          <w:sz w:val="24"/>
          <w:szCs w:val="24"/>
          <w:u w:color="0000FF"/>
        </w:rPr>
        <w:t>]</w:t>
      </w:r>
      <w:r w:rsidRPr="007834AB">
        <w:rPr>
          <w:b/>
          <w:sz w:val="24"/>
          <w:szCs w:val="24"/>
          <w:u w:color="0000FF"/>
        </w:rPr>
        <w:t>.0</w:t>
      </w:r>
      <w:r w:rsidR="00D16C38" w:rsidRPr="007834AB">
        <w:rPr>
          <w:b/>
          <w:sz w:val="24"/>
          <w:szCs w:val="24"/>
          <w:u w:color="0000FF"/>
        </w:rPr>
        <w:t>3</w:t>
      </w:r>
      <w:r w:rsidRPr="007834AB">
        <w:rPr>
          <w:b/>
          <w:sz w:val="24"/>
          <w:szCs w:val="24"/>
          <w:u w:color="0000FF"/>
        </w:rPr>
        <w:t>(</w:t>
      </w:r>
      <w:r w:rsidR="00F12FD9" w:rsidRPr="007834AB">
        <w:rPr>
          <w:b/>
          <w:sz w:val="24"/>
          <w:szCs w:val="24"/>
          <w:u w:color="0000FF"/>
        </w:rPr>
        <w:t>g)</w:t>
      </w:r>
      <w:r w:rsidRPr="00CC43C2">
        <w:rPr>
          <w:b/>
          <w:sz w:val="24"/>
          <w:szCs w:val="24"/>
          <w:u w:color="0000FF"/>
        </w:rPr>
        <w:t>, AND IT WILL IMPOSE MORE RESTRICTIVE AFFORDABILITY REQUIREMENTS THAN THE REQUIREMENTS OF RECORD AT CLOSING, LENDER SHOULD ALERT FANNIE MAE CREDIT AND SUBMIT AN INQUIRY TO MBS DISCLOSURES FOR FURTHER DIRECTION ON LOAN DATA ENTRY.]</w:t>
      </w:r>
      <w:bookmarkEnd w:id="2"/>
    </w:p>
    <w:p w14:paraId="5AF18FF7" w14:textId="05CC51CB" w:rsidR="007E425F" w:rsidRPr="00AC7CCE" w:rsidRDefault="007E425F" w:rsidP="00895E42">
      <w:pPr>
        <w:widowControl/>
        <w:suppressAutoHyphens/>
        <w:spacing w:after="240"/>
        <w:jc w:val="center"/>
        <w:rPr>
          <w:b/>
          <w:sz w:val="24"/>
          <w:szCs w:val="24"/>
        </w:rPr>
      </w:pPr>
      <w:r w:rsidRPr="00AC7CCE">
        <w:rPr>
          <w:b/>
          <w:sz w:val="24"/>
          <w:szCs w:val="24"/>
        </w:rPr>
        <w:t>EXHIBIT [___]</w:t>
      </w:r>
    </w:p>
    <w:p w14:paraId="002CEC26" w14:textId="77777777" w:rsidR="007E425F" w:rsidRPr="00AC7CCE" w:rsidRDefault="007E425F" w:rsidP="00895E42">
      <w:pPr>
        <w:widowControl/>
        <w:tabs>
          <w:tab w:val="center" w:pos="4680"/>
        </w:tabs>
        <w:suppressAutoHyphens/>
        <w:jc w:val="center"/>
        <w:rPr>
          <w:sz w:val="24"/>
          <w:szCs w:val="24"/>
        </w:rPr>
      </w:pPr>
      <w:r w:rsidRPr="00AC7CCE">
        <w:rPr>
          <w:b/>
          <w:sz w:val="24"/>
          <w:szCs w:val="24"/>
        </w:rPr>
        <w:t>MODIFICATIONS TO MULTIFAMILY LOAN AND SECURITY AGREEMENT</w:t>
      </w:r>
    </w:p>
    <w:p w14:paraId="566C131E" w14:textId="77777777" w:rsidR="007E425F" w:rsidRPr="00AC7CCE" w:rsidRDefault="007E425F" w:rsidP="00895E42">
      <w:pPr>
        <w:widowControl/>
        <w:suppressAutoHyphens/>
        <w:spacing w:after="360"/>
        <w:jc w:val="center"/>
        <w:rPr>
          <w:sz w:val="24"/>
          <w:szCs w:val="24"/>
        </w:rPr>
      </w:pPr>
      <w:r w:rsidRPr="00AC7CCE">
        <w:rPr>
          <w:b/>
          <w:sz w:val="24"/>
          <w:szCs w:val="24"/>
        </w:rPr>
        <w:t>(Tax Credit Properties</w:t>
      </w:r>
      <w:r w:rsidR="00A94049">
        <w:rPr>
          <w:b/>
          <w:sz w:val="24"/>
          <w:szCs w:val="24"/>
        </w:rPr>
        <w:t xml:space="preserve"> </w:t>
      </w:r>
      <w:r w:rsidR="004A7ACA">
        <w:rPr>
          <w:b/>
          <w:sz w:val="24"/>
          <w:szCs w:val="24"/>
        </w:rPr>
        <w:t xml:space="preserve">- </w:t>
      </w:r>
      <w:r w:rsidR="00A94049">
        <w:rPr>
          <w:b/>
          <w:sz w:val="24"/>
          <w:szCs w:val="24"/>
        </w:rPr>
        <w:t>No Equity Investor</w:t>
      </w:r>
      <w:r w:rsidRPr="00AC7CCE">
        <w:rPr>
          <w:b/>
          <w:sz w:val="24"/>
          <w:szCs w:val="24"/>
        </w:rPr>
        <w:t>)</w:t>
      </w:r>
    </w:p>
    <w:p w14:paraId="0B265147" w14:textId="77777777" w:rsidR="007E425F" w:rsidRPr="00AC7CCE" w:rsidRDefault="007E425F" w:rsidP="00895E42">
      <w:pPr>
        <w:widowControl/>
        <w:suppressAutoHyphens/>
        <w:spacing w:after="240"/>
        <w:ind w:firstLine="720"/>
        <w:jc w:val="both"/>
        <w:rPr>
          <w:sz w:val="24"/>
          <w:szCs w:val="24"/>
        </w:rPr>
      </w:pPr>
      <w:r w:rsidRPr="00AC7CCE">
        <w:rPr>
          <w:sz w:val="24"/>
          <w:szCs w:val="24"/>
        </w:rPr>
        <w:t>The foregoing Loan Agreement is hereby modified as follows:</w:t>
      </w:r>
    </w:p>
    <w:p w14:paraId="5808B774" w14:textId="77777777" w:rsidR="007E425F" w:rsidRPr="00AC7CCE" w:rsidRDefault="007E425F" w:rsidP="00895E42">
      <w:pPr>
        <w:widowControl/>
        <w:numPr>
          <w:ilvl w:val="0"/>
          <w:numId w:val="1"/>
        </w:numPr>
        <w:suppressAutoHyphens/>
        <w:spacing w:after="240"/>
        <w:jc w:val="both"/>
        <w:rPr>
          <w:sz w:val="24"/>
          <w:szCs w:val="24"/>
        </w:rPr>
      </w:pPr>
      <w:r w:rsidRPr="00AC7CCE">
        <w:rPr>
          <w:sz w:val="24"/>
          <w:szCs w:val="24"/>
        </w:rPr>
        <w:t>Capitalized terms used and not specifically defined herein have the meanings given to such terms in the Loan Agreement.</w:t>
      </w:r>
    </w:p>
    <w:p w14:paraId="6172D2DA" w14:textId="77777777" w:rsidR="007E425F" w:rsidRDefault="007E425F" w:rsidP="00895E42">
      <w:pPr>
        <w:widowControl/>
        <w:numPr>
          <w:ilvl w:val="0"/>
          <w:numId w:val="1"/>
        </w:numPr>
        <w:suppressAutoHyphens/>
        <w:spacing w:after="240"/>
        <w:jc w:val="both"/>
        <w:rPr>
          <w:sz w:val="24"/>
          <w:szCs w:val="24"/>
        </w:rPr>
      </w:pPr>
      <w:r w:rsidRPr="00AC7CCE">
        <w:rPr>
          <w:sz w:val="24"/>
          <w:szCs w:val="24"/>
        </w:rPr>
        <w:t>The Definitions Schedule is hereby amended by adding the following new definitions in the appropriate alphabetical order:</w:t>
      </w:r>
    </w:p>
    <w:p w14:paraId="22376E89" w14:textId="77777777" w:rsidR="006C01E3" w:rsidRPr="006C01E3" w:rsidRDefault="006C01E3" w:rsidP="006C01E3">
      <w:pPr>
        <w:widowControl/>
        <w:tabs>
          <w:tab w:val="left" w:pos="-720"/>
        </w:tabs>
        <w:suppressAutoHyphens/>
        <w:spacing w:after="240"/>
        <w:ind w:left="720" w:right="760"/>
        <w:jc w:val="both"/>
        <w:rPr>
          <w:sz w:val="24"/>
          <w:szCs w:val="24"/>
        </w:rPr>
      </w:pPr>
      <w:r w:rsidRPr="006C01E3">
        <w:rPr>
          <w:sz w:val="24"/>
          <w:szCs w:val="24"/>
        </w:rPr>
        <w:t>“</w:t>
      </w:r>
      <w:r w:rsidRPr="00CC43C2">
        <w:rPr>
          <w:b/>
          <w:bCs/>
          <w:sz w:val="24"/>
          <w:szCs w:val="24"/>
        </w:rPr>
        <w:t>42(m) Letter</w:t>
      </w:r>
      <w:r w:rsidRPr="006C01E3">
        <w:rPr>
          <w:sz w:val="24"/>
          <w:szCs w:val="24"/>
        </w:rPr>
        <w:t>” means a determination letter from the Tax Credit Agency that the Mortgaged Property meets the requirements of the applicable qualified allocation plan and Section 42(m)(1)(D) of the Internal Revenue Code.</w:t>
      </w:r>
    </w:p>
    <w:p w14:paraId="0D0FDCC0" w14:textId="660CE63E" w:rsidR="007E425F" w:rsidRPr="00AC7CCE" w:rsidRDefault="007E425F" w:rsidP="00895E42">
      <w:pPr>
        <w:widowControl/>
        <w:tabs>
          <w:tab w:val="left" w:pos="-720"/>
        </w:tabs>
        <w:suppressAutoHyphens/>
        <w:spacing w:after="240"/>
        <w:ind w:left="720" w:right="760"/>
        <w:jc w:val="both"/>
        <w:rPr>
          <w:sz w:val="24"/>
          <w:szCs w:val="24"/>
        </w:rPr>
      </w:pPr>
      <w:r w:rsidRPr="00AC7CCE">
        <w:rPr>
          <w:sz w:val="24"/>
          <w:szCs w:val="24"/>
        </w:rPr>
        <w:t>“</w:t>
      </w:r>
      <w:r w:rsidRPr="00AC7CCE">
        <w:rPr>
          <w:b/>
          <w:sz w:val="24"/>
          <w:szCs w:val="24"/>
        </w:rPr>
        <w:t>Extended Use Agreement</w:t>
      </w:r>
      <w:r w:rsidRPr="00AC7CCE">
        <w:rPr>
          <w:sz w:val="24"/>
          <w:szCs w:val="24"/>
        </w:rPr>
        <w:t>” has the meaning set forth in the Security Instrument.</w:t>
      </w:r>
    </w:p>
    <w:p w14:paraId="2C07811E" w14:textId="5D27123F" w:rsidR="00CC43C2" w:rsidRPr="00CC43C2" w:rsidRDefault="00CC43C2" w:rsidP="00CC43C2">
      <w:pPr>
        <w:widowControl/>
        <w:tabs>
          <w:tab w:val="left" w:pos="-720"/>
        </w:tabs>
        <w:suppressAutoHyphens/>
        <w:spacing w:after="240"/>
        <w:ind w:left="720" w:right="760"/>
        <w:jc w:val="both"/>
        <w:rPr>
          <w:sz w:val="22"/>
        </w:rPr>
      </w:pPr>
      <w:r w:rsidRPr="00CC43C2">
        <w:rPr>
          <w:sz w:val="24"/>
          <w:szCs w:val="24"/>
        </w:rPr>
        <w:t>“</w:t>
      </w:r>
      <w:r w:rsidRPr="00CC43C2">
        <w:rPr>
          <w:b/>
          <w:sz w:val="24"/>
          <w:szCs w:val="24"/>
        </w:rPr>
        <w:t>Minimum Set-Aside Test</w:t>
      </w:r>
      <w:r w:rsidRPr="00CC43C2">
        <w:rPr>
          <w:sz w:val="24"/>
          <w:szCs w:val="24"/>
        </w:rPr>
        <w:t xml:space="preserve">” means the set-aside test elected by Borrower pursuant to Section 42(g)(1)(A), (B) or (C) of the Internal Revenue Code with respect to the percentage of units built or to be built upon the Mortgaged Property to be occupied by tenants with incomes equal to no more than the designated percentage of area </w:t>
      </w:r>
      <w:r w:rsidRPr="00CC43C2">
        <w:rPr>
          <w:sz w:val="24"/>
          <w:szCs w:val="24"/>
        </w:rPr>
        <w:lastRenderedPageBreak/>
        <w:t>median income.  Borrower’s election of (a) the 20-50 Set-Aside Test as the Minimum Set-Aside Test (as provided in Section 42(g)(1)(A) of the Internal Revenue Code)</w:t>
      </w:r>
      <w:r w:rsidR="003606B1">
        <w:rPr>
          <w:sz w:val="24"/>
          <w:szCs w:val="24"/>
        </w:rPr>
        <w:t>;</w:t>
      </w:r>
      <w:r w:rsidRPr="00CC43C2">
        <w:rPr>
          <w:sz w:val="24"/>
          <w:szCs w:val="24"/>
        </w:rPr>
        <w:t xml:space="preserve"> (b) the 40-60 Set-Aside Test (as provided in Section 42(g)(1)(B) of the Internal Revenue Code) (or, for a Mortgaged Property in New York City, the 25-60 Set-Aside Test as provided in Sections 42(g)(4) and 142(d)(6) of the Internal Revenue Code)</w:t>
      </w:r>
      <w:r w:rsidR="003606B1">
        <w:rPr>
          <w:sz w:val="24"/>
          <w:szCs w:val="24"/>
        </w:rPr>
        <w:t xml:space="preserve">; </w:t>
      </w:r>
      <w:r w:rsidRPr="00CC43C2">
        <w:rPr>
          <w:sz w:val="24"/>
          <w:szCs w:val="24"/>
        </w:rPr>
        <w:t>or (c) the Averag</w:t>
      </w:r>
      <w:r w:rsidR="00043035">
        <w:rPr>
          <w:sz w:val="24"/>
          <w:szCs w:val="24"/>
        </w:rPr>
        <w:t>e</w:t>
      </w:r>
      <w:r w:rsidRPr="00CC43C2">
        <w:rPr>
          <w:sz w:val="24"/>
          <w:szCs w:val="24"/>
        </w:rPr>
        <w:t xml:space="preserve"> </w:t>
      </w:r>
      <w:r w:rsidR="003606B1">
        <w:rPr>
          <w:sz w:val="24"/>
          <w:szCs w:val="24"/>
        </w:rPr>
        <w:t xml:space="preserve">Income </w:t>
      </w:r>
      <w:r w:rsidRPr="00CC43C2">
        <w:rPr>
          <w:sz w:val="24"/>
          <w:szCs w:val="24"/>
        </w:rPr>
        <w:t>Set-Aside Test (as provided in Section 42(g)(1)(C) of the Internal Revenue Code) for the Mortgaged Property is indicated on the Summary of Loan Terms.</w:t>
      </w:r>
    </w:p>
    <w:p w14:paraId="3C2471EF" w14:textId="00A3DFCC" w:rsidR="009033FA" w:rsidRDefault="009033FA" w:rsidP="009033FA">
      <w:pPr>
        <w:widowControl/>
        <w:tabs>
          <w:tab w:val="left" w:pos="-720"/>
        </w:tabs>
        <w:suppressAutoHyphens/>
        <w:spacing w:after="240"/>
        <w:ind w:left="720" w:right="760"/>
        <w:jc w:val="both"/>
        <w:rPr>
          <w:sz w:val="24"/>
          <w:szCs w:val="24"/>
        </w:rPr>
      </w:pPr>
      <w:r>
        <w:rPr>
          <w:sz w:val="24"/>
          <w:szCs w:val="24"/>
        </w:rPr>
        <w:t>“</w:t>
      </w:r>
      <w:r>
        <w:rPr>
          <w:b/>
          <w:sz w:val="24"/>
          <w:szCs w:val="24"/>
        </w:rPr>
        <w:t>Rent Restriction Test</w:t>
      </w:r>
      <w:r>
        <w:rPr>
          <w:sz w:val="24"/>
          <w:szCs w:val="24"/>
        </w:rPr>
        <w:t>” means the rent restrictions imposed on the low-income units in the Mortgaged Property pursuant to Section 42(g)(2) of the Internal Revenue Code, whereby the gross rent charged to tenant(s) of the low-income units cannot exceed thirty percent (30%) of the imputed income limitation of the applicable units based upon the Minimum Set-Aside Test elected by Borrower.</w:t>
      </w:r>
    </w:p>
    <w:p w14:paraId="63D02CB4" w14:textId="77777777" w:rsidR="001B7210" w:rsidRPr="001B7210" w:rsidRDefault="001B7210" w:rsidP="001B7210">
      <w:pPr>
        <w:widowControl/>
        <w:tabs>
          <w:tab w:val="left" w:pos="-720"/>
        </w:tabs>
        <w:suppressAutoHyphens/>
        <w:spacing w:after="240"/>
        <w:ind w:left="720" w:right="760"/>
        <w:jc w:val="both"/>
        <w:rPr>
          <w:sz w:val="24"/>
          <w:szCs w:val="24"/>
        </w:rPr>
      </w:pPr>
      <w:bookmarkStart w:id="3" w:name="_DV_M10"/>
      <w:bookmarkEnd w:id="3"/>
      <w:r w:rsidRPr="001B7210">
        <w:rPr>
          <w:sz w:val="24"/>
          <w:szCs w:val="24"/>
        </w:rPr>
        <w:t>“</w:t>
      </w:r>
      <w:r w:rsidRPr="00CC43C2">
        <w:rPr>
          <w:b/>
          <w:bCs/>
          <w:sz w:val="24"/>
          <w:szCs w:val="24"/>
        </w:rPr>
        <w:t>Reservation Letter</w:t>
      </w:r>
      <w:r w:rsidRPr="001B7210">
        <w:rPr>
          <w:sz w:val="24"/>
          <w:szCs w:val="24"/>
        </w:rPr>
        <w:t>” means a letter from the Tax Credit Agency conditionally binding the Tax Credit Agency to make an allocation of Tax Credits to the Mortgaged Property.</w:t>
      </w:r>
    </w:p>
    <w:p w14:paraId="444FCF9B" w14:textId="77777777" w:rsidR="001B7210" w:rsidRPr="001B7210" w:rsidRDefault="001B7210" w:rsidP="001B7210">
      <w:pPr>
        <w:widowControl/>
        <w:tabs>
          <w:tab w:val="left" w:pos="-720"/>
        </w:tabs>
        <w:suppressAutoHyphens/>
        <w:spacing w:after="240"/>
        <w:ind w:left="720" w:right="760"/>
        <w:jc w:val="both"/>
        <w:rPr>
          <w:sz w:val="24"/>
          <w:szCs w:val="24"/>
        </w:rPr>
      </w:pPr>
      <w:r w:rsidRPr="001B7210">
        <w:rPr>
          <w:sz w:val="24"/>
          <w:szCs w:val="24"/>
        </w:rPr>
        <w:t>“</w:t>
      </w:r>
      <w:r w:rsidRPr="00CC43C2">
        <w:rPr>
          <w:b/>
          <w:bCs/>
          <w:sz w:val="24"/>
          <w:szCs w:val="24"/>
        </w:rPr>
        <w:t>Tax Credit Agency</w:t>
      </w:r>
      <w:r w:rsidRPr="001B7210">
        <w:rPr>
          <w:sz w:val="24"/>
          <w:szCs w:val="24"/>
        </w:rPr>
        <w:t>” means the state housing credit agency having responsibility for allocating Tax Credits, issuing the IRS Form 8609 and monitoring compliance of the Mortgaged Property with the requirements of (a) Section 42 of the Internal Revenue Code and (b) the Extended Use Agreement.</w:t>
      </w:r>
    </w:p>
    <w:p w14:paraId="65EDDA9C" w14:textId="44DC3B75" w:rsidR="001B7210" w:rsidRDefault="001B7210" w:rsidP="001B7210">
      <w:pPr>
        <w:widowControl/>
        <w:tabs>
          <w:tab w:val="left" w:pos="-720"/>
        </w:tabs>
        <w:suppressAutoHyphens/>
        <w:spacing w:after="240"/>
        <w:ind w:left="720" w:right="760"/>
        <w:jc w:val="both"/>
        <w:rPr>
          <w:sz w:val="24"/>
          <w:szCs w:val="24"/>
        </w:rPr>
      </w:pPr>
      <w:r w:rsidRPr="001B7210">
        <w:rPr>
          <w:sz w:val="24"/>
          <w:szCs w:val="24"/>
        </w:rPr>
        <w:t>“</w:t>
      </w:r>
      <w:r w:rsidRPr="00CC43C2">
        <w:rPr>
          <w:b/>
          <w:bCs/>
          <w:sz w:val="24"/>
          <w:szCs w:val="24"/>
        </w:rPr>
        <w:t>Tax Credit Application</w:t>
      </w:r>
      <w:r w:rsidRPr="001B7210">
        <w:rPr>
          <w:sz w:val="24"/>
          <w:szCs w:val="24"/>
        </w:rPr>
        <w:t>” means collectively, the application to receive a new allocation of</w:t>
      </w:r>
      <w:r w:rsidRPr="00CC43C2">
        <w:rPr>
          <w:b/>
          <w:bCs/>
          <w:sz w:val="24"/>
          <w:szCs w:val="24"/>
        </w:rPr>
        <w:t xml:space="preserve"> [DRAFTING NOTE: DESCRIBE ANY DOCUMENTS REQUIRED TO BE SUBMITTED WITH THE APPLICATION: </w:t>
      </w:r>
      <w:r w:rsidRPr="001B7210">
        <w:rPr>
          <w:sz w:val="24"/>
          <w:szCs w:val="24"/>
        </w:rPr>
        <w:t>Tax Credits, [the Reservation Letter] and any other documentation required to be submitted by Borrower, including all amendments, schedules, and exhibits to the foregoing.</w:t>
      </w:r>
      <w:r w:rsidRPr="00CC43C2">
        <w:rPr>
          <w:b/>
          <w:bCs/>
          <w:sz w:val="24"/>
          <w:szCs w:val="24"/>
        </w:rPr>
        <w:t>]</w:t>
      </w:r>
    </w:p>
    <w:p w14:paraId="5D33A3E1" w14:textId="5F4B6B67" w:rsidR="009033FA" w:rsidRDefault="009033FA" w:rsidP="009033FA">
      <w:pPr>
        <w:widowControl/>
        <w:tabs>
          <w:tab w:val="left" w:pos="-720"/>
        </w:tabs>
        <w:suppressAutoHyphens/>
        <w:spacing w:after="240"/>
        <w:ind w:left="720" w:right="760"/>
        <w:jc w:val="both"/>
        <w:rPr>
          <w:b/>
          <w:sz w:val="24"/>
          <w:szCs w:val="24"/>
        </w:rPr>
      </w:pPr>
      <w:r>
        <w:rPr>
          <w:sz w:val="24"/>
          <w:szCs w:val="24"/>
        </w:rPr>
        <w:t>“</w:t>
      </w:r>
      <w:r>
        <w:rPr>
          <w:b/>
          <w:sz w:val="24"/>
          <w:szCs w:val="24"/>
        </w:rPr>
        <w:t>Tax Credits</w:t>
      </w:r>
      <w:r>
        <w:rPr>
          <w:sz w:val="24"/>
          <w:szCs w:val="24"/>
        </w:rPr>
        <w:t xml:space="preserve">” means the tax credits allocated to Borrower pursuant to Section 42 of the Internal Revenue Code in connection with the Mortgaged Property’s </w:t>
      </w:r>
      <w:bookmarkStart w:id="4" w:name="_DV_M11"/>
      <w:bookmarkEnd w:id="4"/>
      <w:r>
        <w:rPr>
          <w:sz w:val="24"/>
          <w:szCs w:val="24"/>
        </w:rPr>
        <w:t xml:space="preserve">operation as a “qualified low-income housing project” within the meaning of Section 42(g)(1) of the Internal Revenue Code.  </w:t>
      </w:r>
      <w:r w:rsidR="001B7210">
        <w:rPr>
          <w:sz w:val="24"/>
          <w:szCs w:val="24"/>
        </w:rPr>
        <w:t xml:space="preserve">As </w:t>
      </w:r>
      <w:proofErr w:type="gramStart"/>
      <w:r w:rsidR="001B7210">
        <w:rPr>
          <w:sz w:val="24"/>
          <w:szCs w:val="24"/>
        </w:rPr>
        <w:t>of</w:t>
      </w:r>
      <w:proofErr w:type="gramEnd"/>
      <w:r w:rsidR="001B7210">
        <w:rPr>
          <w:sz w:val="24"/>
          <w:szCs w:val="24"/>
        </w:rPr>
        <w:t xml:space="preserve"> the Effective Date, t</w:t>
      </w:r>
      <w:r>
        <w:rPr>
          <w:sz w:val="24"/>
          <w:szCs w:val="24"/>
        </w:rPr>
        <w:t xml:space="preserve">he </w:t>
      </w:r>
      <w:r w:rsidR="001B7210">
        <w:rPr>
          <w:sz w:val="24"/>
          <w:szCs w:val="24"/>
        </w:rPr>
        <w:t xml:space="preserve">projected </w:t>
      </w:r>
      <w:r>
        <w:rPr>
          <w:sz w:val="24"/>
          <w:szCs w:val="24"/>
        </w:rPr>
        <w:t xml:space="preserve">Tax Credits </w:t>
      </w:r>
      <w:r w:rsidR="001B7210">
        <w:rPr>
          <w:sz w:val="24"/>
          <w:szCs w:val="24"/>
        </w:rPr>
        <w:t xml:space="preserve">equal </w:t>
      </w:r>
      <w:r>
        <w:rPr>
          <w:sz w:val="24"/>
          <w:szCs w:val="24"/>
        </w:rPr>
        <w:t>the amount identified on the Summary of Loan Terms.</w:t>
      </w:r>
    </w:p>
    <w:p w14:paraId="23884296" w14:textId="68292DF2" w:rsidR="001B7210" w:rsidRPr="00CC43C2" w:rsidRDefault="001B7210" w:rsidP="001C383D">
      <w:pPr>
        <w:widowControl/>
        <w:numPr>
          <w:ilvl w:val="0"/>
          <w:numId w:val="1"/>
        </w:numPr>
        <w:suppressAutoHyphens/>
        <w:spacing w:after="240"/>
        <w:jc w:val="both"/>
        <w:rPr>
          <w:sz w:val="24"/>
          <w:szCs w:val="24"/>
        </w:rPr>
      </w:pPr>
      <w:bookmarkStart w:id="5" w:name="_DV_M12"/>
      <w:bookmarkStart w:id="6" w:name="_cp_change_52"/>
      <w:bookmarkStart w:id="7" w:name="_cp_change_54"/>
      <w:bookmarkEnd w:id="5"/>
      <w:r w:rsidRPr="00CC43C2">
        <w:rPr>
          <w:sz w:val="24"/>
          <w:szCs w:val="24"/>
          <w:u w:color="0000FF"/>
        </w:rPr>
        <w:t>S</w:t>
      </w:r>
      <w:bookmarkEnd w:id="6"/>
      <w:r w:rsidRPr="00CC43C2">
        <w:rPr>
          <w:sz w:val="24"/>
          <w:szCs w:val="24"/>
          <w:u w:color="0000FF"/>
        </w:rPr>
        <w:t>ection 3.02(a) (Personal Liability Based on Lender’s Loss)</w:t>
      </w:r>
      <w:r w:rsidRPr="00CC43C2">
        <w:rPr>
          <w:sz w:val="24"/>
          <w:u w:color="0000FF"/>
        </w:rPr>
        <w:t xml:space="preserve"> of the </w:t>
      </w:r>
      <w:r w:rsidRPr="00CC43C2">
        <w:rPr>
          <w:sz w:val="24"/>
          <w:szCs w:val="24"/>
          <w:u w:color="0000FF"/>
        </w:rPr>
        <w:t>Loan Agreement is hereby amended by adding the following subsection</w:t>
      </w:r>
      <w:r w:rsidR="00735B7C">
        <w:rPr>
          <w:sz w:val="24"/>
          <w:szCs w:val="24"/>
          <w:u w:color="0000FF"/>
        </w:rPr>
        <w:t>[s]</w:t>
      </w:r>
      <w:r w:rsidRPr="00CC43C2">
        <w:rPr>
          <w:sz w:val="24"/>
          <w:szCs w:val="24"/>
          <w:u w:color="0000FF"/>
        </w:rPr>
        <w:t xml:space="preserve"> to </w:t>
      </w:r>
      <w:r w:rsidRPr="00CC43C2">
        <w:rPr>
          <w:sz w:val="24"/>
          <w:u w:color="0000FF"/>
        </w:rPr>
        <w:t xml:space="preserve">the </w:t>
      </w:r>
      <w:r w:rsidRPr="00CC43C2">
        <w:rPr>
          <w:sz w:val="24"/>
          <w:szCs w:val="24"/>
          <w:u w:color="0000FF"/>
        </w:rPr>
        <w:t>end thereof:</w:t>
      </w:r>
      <w:bookmarkStart w:id="8" w:name="_cp_change_53"/>
      <w:bookmarkEnd w:id="7"/>
    </w:p>
    <w:p w14:paraId="3D6F2B1E" w14:textId="3202A108" w:rsidR="001B7210" w:rsidRPr="00CC43C2" w:rsidRDefault="001B7210" w:rsidP="001B7210">
      <w:pPr>
        <w:widowControl/>
        <w:tabs>
          <w:tab w:val="left" w:pos="-720"/>
        </w:tabs>
        <w:suppressAutoHyphens/>
        <w:spacing w:after="240"/>
        <w:ind w:left="1440" w:right="720" w:firstLine="720"/>
        <w:jc w:val="both"/>
        <w:rPr>
          <w:sz w:val="24"/>
          <w:szCs w:val="24"/>
        </w:rPr>
      </w:pPr>
      <w:bookmarkStart w:id="9" w:name="_cp_change_56"/>
      <w:bookmarkEnd w:id="8"/>
      <w:r w:rsidRPr="00CC43C2">
        <w:rPr>
          <w:sz w:val="24"/>
          <w:szCs w:val="24"/>
          <w:u w:color="0000FF"/>
        </w:rPr>
        <w:t>([__])</w:t>
      </w:r>
      <w:r w:rsidRPr="00CC43C2">
        <w:rPr>
          <w:sz w:val="24"/>
          <w:szCs w:val="24"/>
        </w:rPr>
        <w:tab/>
      </w:r>
      <w:r w:rsidRPr="00CC43C2">
        <w:rPr>
          <w:sz w:val="24"/>
          <w:szCs w:val="24"/>
          <w:u w:color="0000FF"/>
        </w:rPr>
        <w:t xml:space="preserve">any </w:t>
      </w:r>
      <w:r w:rsidRPr="00F12FD9">
        <w:rPr>
          <w:sz w:val="24"/>
          <w:szCs w:val="24"/>
          <w:u w:color="0000FF"/>
        </w:rPr>
        <w:t xml:space="preserve">failure to comply with </w:t>
      </w:r>
      <w:r w:rsidRPr="00735B7C">
        <w:rPr>
          <w:sz w:val="24"/>
          <w:szCs w:val="24"/>
          <w:u w:color="0000FF"/>
        </w:rPr>
        <w:t>Section ([__]).0</w:t>
      </w:r>
      <w:r w:rsidR="001C383D" w:rsidRPr="00735B7C">
        <w:rPr>
          <w:sz w:val="24"/>
          <w:szCs w:val="24"/>
          <w:u w:color="0000FF"/>
        </w:rPr>
        <w:t>3</w:t>
      </w:r>
      <w:r w:rsidRPr="00735B7C">
        <w:rPr>
          <w:sz w:val="24"/>
          <w:szCs w:val="24"/>
          <w:u w:color="0000FF"/>
        </w:rPr>
        <w:t>(</w:t>
      </w:r>
      <w:r w:rsidR="001C383D" w:rsidRPr="00735B7C">
        <w:rPr>
          <w:sz w:val="24"/>
          <w:szCs w:val="24"/>
          <w:u w:color="0000FF"/>
        </w:rPr>
        <w:t>f</w:t>
      </w:r>
      <w:r w:rsidRPr="00735B7C">
        <w:rPr>
          <w:sz w:val="24"/>
          <w:szCs w:val="24"/>
          <w:u w:color="0000FF"/>
        </w:rPr>
        <w:t>)(1) (</w:t>
      </w:r>
      <w:r w:rsidR="00BF38B4">
        <w:rPr>
          <w:sz w:val="24"/>
          <w:szCs w:val="24"/>
          <w:u w:color="0000FF"/>
        </w:rPr>
        <w:t xml:space="preserve">Items Related to Tax Credit Properties – Tax </w:t>
      </w:r>
      <w:r w:rsidRPr="00735B7C">
        <w:rPr>
          <w:bCs/>
          <w:sz w:val="24"/>
          <w:szCs w:val="24"/>
          <w:u w:color="0000FF"/>
        </w:rPr>
        <w:t>Credit Covenants</w:t>
      </w:r>
      <w:r w:rsidRPr="00735B7C">
        <w:rPr>
          <w:sz w:val="24"/>
          <w:szCs w:val="24"/>
          <w:u w:color="0000FF"/>
        </w:rPr>
        <w:t>) or failure to comply with Section ([__]).0</w:t>
      </w:r>
      <w:r w:rsidR="001C383D" w:rsidRPr="00735B7C">
        <w:rPr>
          <w:sz w:val="24"/>
          <w:szCs w:val="24"/>
          <w:u w:color="0000FF"/>
        </w:rPr>
        <w:t>3</w:t>
      </w:r>
      <w:r w:rsidRPr="00735B7C">
        <w:rPr>
          <w:sz w:val="24"/>
          <w:szCs w:val="24"/>
          <w:u w:color="0000FF"/>
        </w:rPr>
        <w:t>(b) (</w:t>
      </w:r>
      <w:r w:rsidR="00BF38B4">
        <w:rPr>
          <w:sz w:val="24"/>
          <w:szCs w:val="24"/>
          <w:u w:color="0000FF"/>
        </w:rPr>
        <w:t xml:space="preserve">Items Related to Tax Credit Properties – </w:t>
      </w:r>
      <w:r w:rsidRPr="00735B7C">
        <w:rPr>
          <w:sz w:val="24"/>
          <w:szCs w:val="24"/>
          <w:u w:color="0000FF"/>
        </w:rPr>
        <w:t>Tax Credit Covenants) after the expiration of any ap</w:t>
      </w:r>
      <w:r w:rsidRPr="00CC43C2">
        <w:rPr>
          <w:sz w:val="24"/>
          <w:szCs w:val="24"/>
          <w:u w:color="0000FF"/>
        </w:rPr>
        <w:t>plicable notice and/or cure period in the Extended Use Agreement[.][; and]</w:t>
      </w:r>
      <w:bookmarkStart w:id="10" w:name="_cp_change_55"/>
      <w:bookmarkEnd w:id="9"/>
    </w:p>
    <w:bookmarkEnd w:id="10"/>
    <w:p w14:paraId="61EFD2FB" w14:textId="6812C856" w:rsidR="001B7210" w:rsidRPr="00CC43C2" w:rsidRDefault="00B656E3" w:rsidP="00CC43C2">
      <w:pPr>
        <w:widowControl/>
        <w:tabs>
          <w:tab w:val="left" w:pos="-720"/>
        </w:tabs>
        <w:suppressAutoHyphens/>
        <w:spacing w:after="240"/>
        <w:ind w:left="1440" w:right="760" w:firstLine="720"/>
        <w:jc w:val="both"/>
        <w:rPr>
          <w:sz w:val="24"/>
        </w:rPr>
      </w:pPr>
      <w:r w:rsidRPr="00B656E3">
        <w:rPr>
          <w:b/>
          <w:sz w:val="24"/>
          <w:szCs w:val="24"/>
          <w:u w:color="0000FF"/>
        </w:rPr>
        <w:lastRenderedPageBreak/>
        <w:t xml:space="preserve">[DRAFTING NOTE: INCORPORATE THIS ADDITIONAL NON-RECOURSE CARVEOUT IN THE EVENT THAT THE EXTENDED USE AGREEMENT WILL BE RECORDED POST-CLOSING AND/OR THE FORM 8609 WILL BE ISSUED POST-CLOSING:  </w:t>
      </w:r>
      <w:r w:rsidRPr="00B656E3">
        <w:rPr>
          <w:bCs/>
          <w:sz w:val="24"/>
          <w:szCs w:val="24"/>
          <w:u w:color="0000FF"/>
        </w:rPr>
        <w:t>([__])</w:t>
      </w:r>
      <w:r w:rsidRPr="00B656E3">
        <w:rPr>
          <w:bCs/>
          <w:sz w:val="24"/>
          <w:szCs w:val="24"/>
          <w:u w:color="0000FF"/>
        </w:rPr>
        <w:tab/>
        <w:t>[from the Effective Date until [(i)] the issuance, execution and filing of the IRS Form 8609,] [and (ii)] [the recordation of the Extended Use Agreement for the new allocation of Tax Credits], any failure by Borrower to comply with Sections [__].0</w:t>
      </w:r>
      <w:r w:rsidR="00BF38B4">
        <w:rPr>
          <w:bCs/>
          <w:sz w:val="24"/>
          <w:szCs w:val="24"/>
          <w:u w:color="0000FF"/>
        </w:rPr>
        <w:t>3</w:t>
      </w:r>
      <w:r w:rsidRPr="00B656E3">
        <w:rPr>
          <w:bCs/>
          <w:sz w:val="24"/>
          <w:szCs w:val="24"/>
          <w:u w:color="0000FF"/>
        </w:rPr>
        <w:t>(f)(2) and (g) (Items Related to Tax Credit Properties – Tax Credit Covenants) of this Loan Agreement.</w:t>
      </w:r>
      <w:r w:rsidRPr="00B656E3">
        <w:rPr>
          <w:b/>
          <w:sz w:val="24"/>
          <w:szCs w:val="24"/>
          <w:u w:color="0000FF"/>
        </w:rPr>
        <w:t>]</w:t>
      </w:r>
    </w:p>
    <w:p w14:paraId="53411037" w14:textId="50763583" w:rsidR="007E425F" w:rsidRPr="00CC43C2" w:rsidRDefault="007E425F" w:rsidP="00A94049">
      <w:pPr>
        <w:keepNext/>
        <w:widowControl/>
        <w:numPr>
          <w:ilvl w:val="0"/>
          <w:numId w:val="1"/>
        </w:numPr>
        <w:suppressAutoHyphens/>
        <w:spacing w:after="240"/>
        <w:jc w:val="both"/>
        <w:rPr>
          <w:sz w:val="24"/>
          <w:szCs w:val="24"/>
        </w:rPr>
      </w:pPr>
      <w:r w:rsidRPr="00CC43C2">
        <w:rPr>
          <w:sz w:val="24"/>
          <w:szCs w:val="24"/>
        </w:rPr>
        <w:t>Section 14.01(a) (Events of Default – Automatic Events of Default) of the Loan Agreement is hereby amended by adding the following provision to the end thereof:</w:t>
      </w:r>
    </w:p>
    <w:p w14:paraId="46DCFB7C" w14:textId="15B89BF2" w:rsidR="00C60609" w:rsidRPr="00CC43C2" w:rsidRDefault="00C60609" w:rsidP="00937514">
      <w:pPr>
        <w:pStyle w:val="ListParagraph"/>
        <w:widowControl/>
        <w:suppressAutoHyphens/>
        <w:spacing w:after="240"/>
        <w:ind w:left="1440" w:right="720" w:firstLine="720"/>
        <w:contextualSpacing w:val="0"/>
        <w:jc w:val="both"/>
        <w:rPr>
          <w:sz w:val="24"/>
          <w:szCs w:val="24"/>
          <w:u w:color="0000FF"/>
        </w:rPr>
      </w:pPr>
      <w:bookmarkStart w:id="11" w:name="_cp_change_163"/>
      <w:r w:rsidRPr="00CC43C2">
        <w:rPr>
          <w:sz w:val="24"/>
          <w:szCs w:val="24"/>
          <w:u w:color="0000FF"/>
        </w:rPr>
        <w:t>([__])</w:t>
      </w:r>
      <w:r w:rsidRPr="00CC43C2">
        <w:rPr>
          <w:sz w:val="24"/>
          <w:szCs w:val="24"/>
        </w:rPr>
        <w:tab/>
      </w:r>
      <w:r w:rsidRPr="00CC43C2">
        <w:rPr>
          <w:sz w:val="24"/>
          <w:szCs w:val="24"/>
          <w:u w:color="0000FF"/>
        </w:rPr>
        <w:t xml:space="preserve">any failure by Borrower to comply with </w:t>
      </w:r>
      <w:r w:rsidR="00B656E3" w:rsidRPr="00B656E3">
        <w:rPr>
          <w:sz w:val="24"/>
          <w:szCs w:val="24"/>
          <w:u w:color="0000FF"/>
        </w:rPr>
        <w:t>Sections [__].0</w:t>
      </w:r>
      <w:r w:rsidR="00BF38B4">
        <w:rPr>
          <w:sz w:val="24"/>
          <w:szCs w:val="24"/>
          <w:u w:color="0000FF"/>
        </w:rPr>
        <w:t>3</w:t>
      </w:r>
      <w:r w:rsidR="00B656E3" w:rsidRPr="00B656E3">
        <w:rPr>
          <w:sz w:val="24"/>
          <w:szCs w:val="24"/>
          <w:u w:color="0000FF"/>
        </w:rPr>
        <w:t>(b), (c), (d), (e), (f)(1) and (f)(2) (Items Related to Tax Credit Properties – Tax Credit Covenants)</w:t>
      </w:r>
      <w:r w:rsidRPr="00CC43C2">
        <w:rPr>
          <w:sz w:val="24"/>
          <w:szCs w:val="24"/>
          <w:u w:color="0000FF"/>
        </w:rPr>
        <w:t xml:space="preserve"> of this Loan Agreement.</w:t>
      </w:r>
      <w:bookmarkEnd w:id="11"/>
    </w:p>
    <w:p w14:paraId="2B92CD61" w14:textId="77777777" w:rsidR="00C60609" w:rsidRPr="00CC43C2" w:rsidRDefault="00C60609" w:rsidP="00CC43C2">
      <w:pPr>
        <w:keepNext/>
        <w:widowControl/>
        <w:numPr>
          <w:ilvl w:val="0"/>
          <w:numId w:val="1"/>
        </w:numPr>
        <w:suppressAutoHyphens/>
        <w:spacing w:after="240"/>
        <w:jc w:val="both"/>
        <w:rPr>
          <w:sz w:val="24"/>
          <w:szCs w:val="24"/>
        </w:rPr>
      </w:pPr>
      <w:bookmarkStart w:id="12" w:name="_cp_change_164"/>
      <w:bookmarkStart w:id="13" w:name="_cp_change_166"/>
      <w:r w:rsidRPr="00CC43C2">
        <w:rPr>
          <w:sz w:val="24"/>
          <w:szCs w:val="24"/>
          <w:u w:color="0000FF"/>
        </w:rPr>
        <w:t>T</w:t>
      </w:r>
      <w:bookmarkEnd w:id="12"/>
      <w:r w:rsidRPr="00CC43C2">
        <w:rPr>
          <w:sz w:val="24"/>
          <w:szCs w:val="24"/>
          <w:u w:color="0000FF"/>
        </w:rPr>
        <w:t>he first paragraph of Section 14.01(c) (Events of Default – Events of Default Subject to Extended Cure Period) of the Loan Agreement is hereby amended and restated as follows:</w:t>
      </w:r>
      <w:bookmarkStart w:id="14" w:name="_cp_change_165"/>
      <w:bookmarkEnd w:id="13"/>
    </w:p>
    <w:p w14:paraId="39DDCCB8" w14:textId="70C14848" w:rsidR="00C60609" w:rsidRPr="00CC43C2" w:rsidRDefault="00C60609" w:rsidP="00C60609">
      <w:pPr>
        <w:pStyle w:val="ListParagraph"/>
        <w:widowControl/>
        <w:suppressAutoHyphens/>
        <w:spacing w:after="240"/>
        <w:ind w:left="1440" w:right="720" w:firstLine="720"/>
        <w:contextualSpacing w:val="0"/>
        <w:jc w:val="both"/>
        <w:rPr>
          <w:sz w:val="24"/>
          <w:szCs w:val="24"/>
        </w:rPr>
      </w:pPr>
      <w:bookmarkStart w:id="15" w:name="_cp_change_168"/>
      <w:bookmarkEnd w:id="14"/>
      <w:r w:rsidRPr="00CC43C2">
        <w:rPr>
          <w:sz w:val="24"/>
          <w:szCs w:val="24"/>
          <w:u w:color="0000FF"/>
        </w:rPr>
        <w:t xml:space="preserve">The following shall constitute an Event of Default if the existence of such condition or event, or such failure to perform or default in performance continues for a period of thirty (30) days after written notice by Lender to </w:t>
      </w:r>
      <w:r w:rsidR="00BF38B4">
        <w:rPr>
          <w:sz w:val="24"/>
          <w:szCs w:val="24"/>
          <w:u w:color="0000FF"/>
        </w:rPr>
        <w:t xml:space="preserve">Borrower and Equity Investor (so long as Equity Investor maintains its ownership interest in Borrower) </w:t>
      </w:r>
      <w:r w:rsidRPr="00CC43C2">
        <w:rPr>
          <w:sz w:val="24"/>
          <w:szCs w:val="24"/>
          <w:u w:color="0000FF"/>
        </w:rPr>
        <w:t xml:space="preserve">of the existence of such condition or event, or of such failure to perform or default in performance, provided, however, </w:t>
      </w:r>
      <w:r w:rsidR="00BF38B4">
        <w:rPr>
          <w:sz w:val="24"/>
          <w:szCs w:val="24"/>
          <w:u w:color="0000FF"/>
        </w:rPr>
        <w:t xml:space="preserve">that </w:t>
      </w:r>
      <w:r w:rsidRPr="00CC43C2">
        <w:rPr>
          <w:sz w:val="24"/>
          <w:szCs w:val="24"/>
          <w:u w:color="0000FF"/>
        </w:rPr>
        <w:t>such period may be extended for up to an a</w:t>
      </w:r>
      <w:r w:rsidRPr="00F12FD9">
        <w:rPr>
          <w:sz w:val="24"/>
          <w:szCs w:val="24"/>
          <w:u w:color="0000FF"/>
        </w:rPr>
        <w:t>dditional sixty</w:t>
      </w:r>
      <w:r w:rsidR="00BF38B4">
        <w:rPr>
          <w:sz w:val="24"/>
          <w:szCs w:val="24"/>
          <w:u w:color="0000FF"/>
        </w:rPr>
        <w:t> </w:t>
      </w:r>
      <w:r w:rsidRPr="00F12FD9">
        <w:rPr>
          <w:sz w:val="24"/>
          <w:szCs w:val="24"/>
          <w:u w:color="0000FF"/>
        </w:rPr>
        <w:t>(60) days if Bo</w:t>
      </w:r>
      <w:r w:rsidRPr="00CC43C2">
        <w:rPr>
          <w:sz w:val="24"/>
          <w:szCs w:val="24"/>
          <w:u w:color="0000FF"/>
        </w:rPr>
        <w:t>rrower</w:t>
      </w:r>
      <w:r w:rsidR="00BF38B4">
        <w:rPr>
          <w:sz w:val="24"/>
          <w:szCs w:val="24"/>
          <w:u w:color="0000FF"/>
        </w:rPr>
        <w:t xml:space="preserve"> and/or such Equity Investor, in Lender’s </w:t>
      </w:r>
      <w:r w:rsidRPr="00CC43C2">
        <w:rPr>
          <w:sz w:val="24"/>
          <w:szCs w:val="24"/>
          <w:u w:color="0000FF"/>
        </w:rPr>
        <w:t xml:space="preserve">discretion, is diligently pursuing </w:t>
      </w:r>
      <w:r w:rsidR="0007687A">
        <w:rPr>
          <w:sz w:val="24"/>
          <w:szCs w:val="24"/>
          <w:u w:color="0000FF"/>
        </w:rPr>
        <w:t>the</w:t>
      </w:r>
      <w:r w:rsidRPr="00CC43C2">
        <w:rPr>
          <w:sz w:val="24"/>
          <w:szCs w:val="24"/>
          <w:u w:color="0000FF"/>
        </w:rPr>
        <w:t xml:space="preserve"> cure </w:t>
      </w:r>
      <w:r w:rsidR="0007687A">
        <w:rPr>
          <w:sz w:val="24"/>
          <w:szCs w:val="24"/>
          <w:u w:color="0000FF"/>
        </w:rPr>
        <w:t>thereof</w:t>
      </w:r>
      <w:r w:rsidRPr="00CC43C2">
        <w:rPr>
          <w:sz w:val="24"/>
          <w:szCs w:val="24"/>
          <w:u w:color="0000FF"/>
        </w:rPr>
        <w:t xml:space="preserve">; provided, further, however, </w:t>
      </w:r>
      <w:r w:rsidR="00BF38B4">
        <w:rPr>
          <w:sz w:val="24"/>
          <w:szCs w:val="24"/>
          <w:u w:color="0000FF"/>
        </w:rPr>
        <w:t xml:space="preserve">that </w:t>
      </w:r>
      <w:r w:rsidRPr="00CC43C2">
        <w:rPr>
          <w:sz w:val="24"/>
          <w:szCs w:val="24"/>
          <w:u w:color="0000FF"/>
        </w:rPr>
        <w:t>no such written notice, grace period, or extension shall apply if, in Lender’s discretion, immediate exercise by Lender of a right or remedy under this Loan Agreement or any Loan Document is required to avoid harm to Lender or impairment of the Mortgage Loan (including the Loan Documents), the Mortgaged Property or any other security given for the Mortgage Loan:</w:t>
      </w:r>
      <w:bookmarkStart w:id="16" w:name="_cp_change_167"/>
      <w:bookmarkEnd w:id="15"/>
    </w:p>
    <w:bookmarkEnd w:id="16"/>
    <w:p w14:paraId="6AD48D12" w14:textId="77777777" w:rsidR="007E425F" w:rsidRPr="00AC7CCE" w:rsidRDefault="007E425F" w:rsidP="00A94049">
      <w:pPr>
        <w:keepNext/>
        <w:widowControl/>
        <w:numPr>
          <w:ilvl w:val="0"/>
          <w:numId w:val="1"/>
        </w:numPr>
        <w:suppressAutoHyphens/>
        <w:spacing w:after="240"/>
        <w:jc w:val="both"/>
        <w:rPr>
          <w:sz w:val="24"/>
          <w:szCs w:val="24"/>
        </w:rPr>
      </w:pPr>
      <w:r w:rsidRPr="00AC7CCE">
        <w:rPr>
          <w:sz w:val="24"/>
          <w:szCs w:val="24"/>
        </w:rPr>
        <w:lastRenderedPageBreak/>
        <w:t>The following article is hereby added t</w:t>
      </w:r>
      <w:r w:rsidR="00287B1A">
        <w:rPr>
          <w:sz w:val="24"/>
          <w:szCs w:val="24"/>
        </w:rPr>
        <w:t>o the Loan Agreement as Article</w:t>
      </w:r>
      <w:r w:rsidR="00241811">
        <w:rPr>
          <w:sz w:val="24"/>
          <w:szCs w:val="24"/>
        </w:rPr>
        <w:t> </w:t>
      </w:r>
      <w:r w:rsidRPr="00AC7CCE">
        <w:rPr>
          <w:sz w:val="24"/>
          <w:szCs w:val="24"/>
        </w:rPr>
        <w:t>[___] (Items Related to Tax Credit Properties):</w:t>
      </w:r>
    </w:p>
    <w:p w14:paraId="7734D616" w14:textId="77777777" w:rsidR="007E425F" w:rsidRPr="00AC7CCE" w:rsidRDefault="007E425F" w:rsidP="00895E42">
      <w:pPr>
        <w:keepNext/>
        <w:widowControl/>
        <w:suppressAutoHyphens/>
        <w:spacing w:after="240"/>
        <w:ind w:left="720" w:right="720"/>
        <w:jc w:val="center"/>
        <w:outlineLvl w:val="0"/>
        <w:rPr>
          <w:rFonts w:ascii="Times New Roman Bold" w:hAnsi="Times New Roman Bold"/>
          <w:b/>
          <w:snapToGrid w:val="0"/>
          <w:sz w:val="24"/>
          <w:szCs w:val="24"/>
        </w:rPr>
      </w:pPr>
      <w:bookmarkStart w:id="17" w:name="_Toc263870054"/>
      <w:bookmarkStart w:id="18" w:name="_Toc263870613"/>
      <w:bookmarkStart w:id="19" w:name="_Toc241299261"/>
      <w:bookmarkStart w:id="20" w:name="_Toc241480314"/>
      <w:bookmarkStart w:id="21" w:name="_Toc264474021"/>
      <w:bookmarkStart w:id="22" w:name="_Toc266373268"/>
      <w:bookmarkStart w:id="23" w:name="_Toc271706538"/>
      <w:r w:rsidRPr="00AC7CCE">
        <w:rPr>
          <w:rFonts w:ascii="Times New Roman Bold" w:hAnsi="Times New Roman Bold"/>
          <w:b/>
          <w:snapToGrid w:val="0"/>
          <w:sz w:val="24"/>
          <w:szCs w:val="24"/>
        </w:rPr>
        <w:t>ARTICLE [___]</w:t>
      </w:r>
      <w:bookmarkStart w:id="24" w:name="_Toc263870055"/>
      <w:bookmarkStart w:id="25" w:name="_Toc263870614"/>
      <w:bookmarkEnd w:id="17"/>
      <w:bookmarkEnd w:id="18"/>
      <w:r w:rsidRPr="00AC7CCE">
        <w:rPr>
          <w:rFonts w:ascii="Times New Roman Bold" w:hAnsi="Times New Roman Bold"/>
          <w:b/>
          <w:snapToGrid w:val="0"/>
          <w:sz w:val="24"/>
          <w:szCs w:val="24"/>
        </w:rPr>
        <w:t xml:space="preserve"> – </w:t>
      </w:r>
      <w:bookmarkEnd w:id="19"/>
      <w:bookmarkEnd w:id="20"/>
      <w:bookmarkEnd w:id="21"/>
      <w:bookmarkEnd w:id="22"/>
      <w:bookmarkEnd w:id="23"/>
      <w:bookmarkEnd w:id="24"/>
      <w:bookmarkEnd w:id="25"/>
      <w:r w:rsidRPr="00AC7CCE">
        <w:rPr>
          <w:rFonts w:ascii="Times New Roman Bold" w:hAnsi="Times New Roman Bold"/>
          <w:b/>
          <w:snapToGrid w:val="0"/>
          <w:sz w:val="24"/>
          <w:szCs w:val="24"/>
        </w:rPr>
        <w:t>ITEMS RELATED TO TAX CREDIT PROPERTIES</w:t>
      </w:r>
    </w:p>
    <w:p w14:paraId="41060626" w14:textId="77777777" w:rsidR="007E425F" w:rsidRPr="00AC7CCE" w:rsidRDefault="007E425F" w:rsidP="00895E42">
      <w:pPr>
        <w:keepNext/>
        <w:widowControl/>
        <w:suppressAutoHyphens/>
        <w:spacing w:after="240"/>
        <w:ind w:left="720" w:right="720"/>
        <w:jc w:val="both"/>
        <w:rPr>
          <w:b/>
          <w:sz w:val="24"/>
          <w:szCs w:val="24"/>
        </w:rPr>
      </w:pPr>
      <w:r w:rsidRPr="00AC7CCE">
        <w:rPr>
          <w:b/>
          <w:sz w:val="24"/>
          <w:szCs w:val="24"/>
        </w:rPr>
        <w:t>Section [__].0</w:t>
      </w:r>
      <w:r w:rsidR="00A94049">
        <w:rPr>
          <w:b/>
          <w:sz w:val="24"/>
          <w:szCs w:val="24"/>
        </w:rPr>
        <w:t>1</w:t>
      </w:r>
      <w:r w:rsidRPr="00AC7CCE">
        <w:rPr>
          <w:b/>
          <w:sz w:val="24"/>
          <w:szCs w:val="24"/>
        </w:rPr>
        <w:tab/>
        <w:t>Annual Compliance.</w:t>
      </w:r>
    </w:p>
    <w:p w14:paraId="1F26B8E6" w14:textId="7F345F34" w:rsidR="009033FA" w:rsidRDefault="009033FA" w:rsidP="009033FA">
      <w:pPr>
        <w:widowControl/>
        <w:tabs>
          <w:tab w:val="left" w:pos="-720"/>
        </w:tabs>
        <w:suppressAutoHyphens/>
        <w:spacing w:after="240"/>
        <w:ind w:left="720" w:right="720" w:firstLine="720"/>
        <w:jc w:val="both"/>
        <w:rPr>
          <w:sz w:val="24"/>
          <w:szCs w:val="24"/>
        </w:rPr>
      </w:pPr>
      <w:r>
        <w:rPr>
          <w:sz w:val="24"/>
          <w:szCs w:val="24"/>
        </w:rPr>
        <w:t>Borrower shall submit to Lender</w:t>
      </w:r>
      <w:r w:rsidR="00072EE3">
        <w:rPr>
          <w:sz w:val="24"/>
          <w:szCs w:val="24"/>
        </w:rPr>
        <w:t>,</w:t>
      </w:r>
      <w:r>
        <w:rPr>
          <w:sz w:val="24"/>
          <w:szCs w:val="24"/>
        </w:rPr>
        <w:t xml:space="preserve"> on an annual basis, evidence that the Mortgaged Property is in ongoing compliance with all income, occupancy and rent restrictions under the Extended Use Agreement relating to the Mortgaged Property.  Such submissions shall be made contemporaneously with Borrower’s reports required to be made to the Tax Credit Agency under the Extended Use Agreement.  If the Tax Credit Agency issues an Internal Revenue Service Form 8823, Borrower shall provide to Lender a copy of each such form within five (5) Business Days of Borrower’s receipt of such form(s) from the Tax Credit Agency.</w:t>
      </w:r>
    </w:p>
    <w:p w14:paraId="2B9001E8" w14:textId="77777777" w:rsidR="007E425F" w:rsidRPr="00AC7CCE" w:rsidRDefault="007E425F" w:rsidP="00895E42">
      <w:pPr>
        <w:keepNext/>
        <w:widowControl/>
        <w:suppressAutoHyphens/>
        <w:spacing w:after="240"/>
        <w:ind w:left="734" w:right="720" w:hanging="14"/>
        <w:jc w:val="both"/>
        <w:rPr>
          <w:sz w:val="24"/>
          <w:szCs w:val="24"/>
        </w:rPr>
      </w:pPr>
      <w:r w:rsidRPr="00AC7CCE">
        <w:rPr>
          <w:b/>
          <w:sz w:val="24"/>
          <w:szCs w:val="24"/>
        </w:rPr>
        <w:t>Section [__].0</w:t>
      </w:r>
      <w:r w:rsidR="00A94049">
        <w:rPr>
          <w:b/>
          <w:sz w:val="24"/>
          <w:szCs w:val="24"/>
        </w:rPr>
        <w:t>2</w:t>
      </w:r>
      <w:r w:rsidRPr="00AC7CCE">
        <w:rPr>
          <w:b/>
          <w:sz w:val="24"/>
          <w:szCs w:val="24"/>
        </w:rPr>
        <w:tab/>
        <w:t>Tax Credit Representations</w:t>
      </w:r>
      <w:r w:rsidR="00C54481">
        <w:rPr>
          <w:b/>
          <w:sz w:val="24"/>
          <w:szCs w:val="24"/>
        </w:rPr>
        <w:t xml:space="preserve"> and</w:t>
      </w:r>
      <w:r w:rsidRPr="00AC7CCE">
        <w:rPr>
          <w:b/>
          <w:sz w:val="24"/>
          <w:szCs w:val="24"/>
        </w:rPr>
        <w:t xml:space="preserve"> Warranties</w:t>
      </w:r>
      <w:r w:rsidR="00C54481">
        <w:rPr>
          <w:b/>
          <w:sz w:val="24"/>
          <w:szCs w:val="24"/>
        </w:rPr>
        <w:t>.</w:t>
      </w:r>
    </w:p>
    <w:p w14:paraId="4EA5FD84" w14:textId="77777777" w:rsidR="007E425F" w:rsidRPr="00AC7CCE" w:rsidRDefault="00905265" w:rsidP="00895E42">
      <w:pPr>
        <w:widowControl/>
        <w:suppressAutoHyphens/>
        <w:spacing w:after="240"/>
        <w:ind w:left="720" w:right="720" w:firstLine="720"/>
        <w:jc w:val="both"/>
        <w:rPr>
          <w:sz w:val="24"/>
          <w:szCs w:val="24"/>
        </w:rPr>
      </w:pPr>
      <w:r>
        <w:rPr>
          <w:sz w:val="24"/>
          <w:szCs w:val="24"/>
        </w:rPr>
        <w:t xml:space="preserve">All </w:t>
      </w:r>
      <w:r w:rsidR="00E47635" w:rsidRPr="00E47635">
        <w:rPr>
          <w:sz w:val="24"/>
          <w:szCs w:val="24"/>
        </w:rPr>
        <w:t>representations and warranties made by Borrower to Lender in this Section</w:t>
      </w:r>
      <w:r w:rsidR="0074406E">
        <w:rPr>
          <w:sz w:val="24"/>
          <w:szCs w:val="24"/>
        </w:rPr>
        <w:t> [__].0</w:t>
      </w:r>
      <w:r w:rsidR="00A94049">
        <w:rPr>
          <w:sz w:val="24"/>
          <w:szCs w:val="24"/>
        </w:rPr>
        <w:t>2</w:t>
      </w:r>
      <w:r w:rsidR="0074406E">
        <w:rPr>
          <w:sz w:val="24"/>
          <w:szCs w:val="24"/>
        </w:rPr>
        <w:t xml:space="preserve"> </w:t>
      </w:r>
      <w:r w:rsidR="00241811">
        <w:rPr>
          <w:sz w:val="24"/>
          <w:szCs w:val="24"/>
        </w:rPr>
        <w:t>(Tax Credit Representations</w:t>
      </w:r>
      <w:r w:rsidR="00C54481">
        <w:rPr>
          <w:sz w:val="24"/>
          <w:szCs w:val="24"/>
        </w:rPr>
        <w:t xml:space="preserve"> and</w:t>
      </w:r>
      <w:r w:rsidR="00241811">
        <w:rPr>
          <w:sz w:val="24"/>
          <w:szCs w:val="24"/>
        </w:rPr>
        <w:t xml:space="preserve"> Warranties) </w:t>
      </w:r>
      <w:r w:rsidR="00E47635" w:rsidRPr="00E47635">
        <w:rPr>
          <w:sz w:val="24"/>
          <w:szCs w:val="24"/>
        </w:rPr>
        <w:t>are made as of the Effective Date, and are true and correct except as disclosed on the Exceptions to Representations and Warranties Schedule.</w:t>
      </w:r>
    </w:p>
    <w:p w14:paraId="50FBA1CB" w14:textId="77777777" w:rsidR="009033FA" w:rsidRDefault="009033FA" w:rsidP="009033FA">
      <w:pPr>
        <w:widowControl/>
        <w:suppressAutoHyphens/>
        <w:spacing w:after="240"/>
        <w:ind w:left="720" w:right="720" w:firstLine="720"/>
        <w:jc w:val="both"/>
        <w:rPr>
          <w:sz w:val="24"/>
          <w:szCs w:val="24"/>
        </w:rPr>
      </w:pPr>
      <w:r>
        <w:rPr>
          <w:sz w:val="24"/>
          <w:szCs w:val="24"/>
        </w:rPr>
        <w:t>(a)</w:t>
      </w:r>
      <w:r>
        <w:rPr>
          <w:sz w:val="24"/>
          <w:szCs w:val="24"/>
        </w:rPr>
        <w:tab/>
        <w:t>There are no restrictions on the sale or refinancing of the Mortgaged Property, other than the restrictions set forth in this Loan Agreement and the Extended Use Agreement.</w:t>
      </w:r>
    </w:p>
    <w:p w14:paraId="607AD7B7" w14:textId="28EBBA17" w:rsidR="009033FA" w:rsidRDefault="009033FA" w:rsidP="009033FA">
      <w:pPr>
        <w:widowControl/>
        <w:suppressAutoHyphens/>
        <w:spacing w:after="240"/>
        <w:ind w:left="720" w:right="720" w:firstLine="720"/>
        <w:jc w:val="both"/>
        <w:rPr>
          <w:sz w:val="24"/>
          <w:szCs w:val="24"/>
        </w:rPr>
      </w:pPr>
      <w:bookmarkStart w:id="26" w:name="_DV_M28"/>
      <w:bookmarkEnd w:id="26"/>
      <w:r>
        <w:rPr>
          <w:sz w:val="24"/>
          <w:szCs w:val="24"/>
        </w:rPr>
        <w:t>(b)</w:t>
      </w:r>
      <w:r>
        <w:rPr>
          <w:sz w:val="24"/>
          <w:szCs w:val="24"/>
        </w:rPr>
        <w:tab/>
        <w:t>Borrower and the Mortgaged Property satisf</w:t>
      </w:r>
      <w:r w:rsidR="00C60609">
        <w:rPr>
          <w:sz w:val="24"/>
          <w:szCs w:val="24"/>
        </w:rPr>
        <w:t>y</w:t>
      </w:r>
      <w:r>
        <w:rPr>
          <w:sz w:val="24"/>
          <w:szCs w:val="24"/>
        </w:rPr>
        <w:t xml:space="preserve"> all restrictions and requirements, including tenant income and rent restrictions and record-keeping and retention requirements, applicable to projects generating Tax Credits under Section 42 of the Internal Revenue Code.</w:t>
      </w:r>
    </w:p>
    <w:p w14:paraId="6AC3AB90" w14:textId="7B355ADB" w:rsidR="00B6375C" w:rsidRPr="00CC43C2" w:rsidRDefault="009033FA" w:rsidP="00B6375C">
      <w:pPr>
        <w:widowControl/>
        <w:suppressAutoHyphens/>
        <w:spacing w:after="240"/>
        <w:ind w:left="720" w:right="720" w:firstLine="720"/>
        <w:jc w:val="both"/>
        <w:rPr>
          <w:sz w:val="24"/>
          <w:szCs w:val="24"/>
        </w:rPr>
      </w:pPr>
      <w:bookmarkStart w:id="27" w:name="_DV_M29"/>
      <w:bookmarkEnd w:id="27"/>
      <w:r>
        <w:rPr>
          <w:sz w:val="24"/>
          <w:szCs w:val="24"/>
        </w:rPr>
        <w:t>(c)</w:t>
      </w:r>
      <w:r>
        <w:rPr>
          <w:sz w:val="24"/>
          <w:szCs w:val="24"/>
        </w:rPr>
        <w:tab/>
        <w:t>Borrower and the Mortgaged Property satisf</w:t>
      </w:r>
      <w:r w:rsidR="00B6375C">
        <w:rPr>
          <w:sz w:val="24"/>
          <w:szCs w:val="24"/>
        </w:rPr>
        <w:t>y</w:t>
      </w:r>
      <w:r>
        <w:rPr>
          <w:sz w:val="24"/>
          <w:szCs w:val="24"/>
        </w:rPr>
        <w:t xml:space="preserve"> all covenants and restrictions set forth in the </w:t>
      </w:r>
      <w:r w:rsidR="00B6375C" w:rsidRPr="00072EE3">
        <w:rPr>
          <w:b/>
          <w:bCs/>
          <w:sz w:val="24"/>
          <w:szCs w:val="24"/>
        </w:rPr>
        <w:t>[DRAFTING NOTE: INSERT IF EXTENDED USE AGREEMENT IS NOT EXECUTED AS OF THE EFFECTIVE DATE:</w:t>
      </w:r>
      <w:r w:rsidR="00B6375C" w:rsidRPr="00B6375C">
        <w:rPr>
          <w:sz w:val="24"/>
          <w:szCs w:val="24"/>
        </w:rPr>
        <w:t xml:space="preserve"> [draft]] </w:t>
      </w:r>
      <w:r>
        <w:rPr>
          <w:sz w:val="24"/>
          <w:szCs w:val="24"/>
        </w:rPr>
        <w:t>Extended Use Agreement</w:t>
      </w:r>
      <w:r w:rsidR="00B6375C">
        <w:rPr>
          <w:sz w:val="24"/>
          <w:szCs w:val="24"/>
        </w:rPr>
        <w:t xml:space="preserve"> </w:t>
      </w:r>
      <w:bookmarkStart w:id="28" w:name="_cp_change_211"/>
      <w:r w:rsidR="00B6375C" w:rsidRPr="00CC43C2">
        <w:rPr>
          <w:sz w:val="24"/>
          <w:szCs w:val="24"/>
          <w:u w:color="0000FF"/>
        </w:rPr>
        <w:t xml:space="preserve">delivered to Lender.  </w:t>
      </w:r>
      <w:r w:rsidR="00B6375C" w:rsidRPr="00CC43C2">
        <w:rPr>
          <w:b/>
          <w:bCs/>
          <w:sz w:val="24"/>
          <w:szCs w:val="24"/>
          <w:u w:color="0000FF"/>
        </w:rPr>
        <w:t>[DRAFTING NOTE: INSERT IF APPLICABLE:</w:t>
      </w:r>
      <w:r w:rsidR="00B6375C" w:rsidRPr="00CC43C2">
        <w:rPr>
          <w:sz w:val="24"/>
          <w:szCs w:val="24"/>
          <w:u w:color="0000FF"/>
        </w:rPr>
        <w:t xml:space="preserve"> Notwithstanding the foregoing, as of the date hereof, Borrower has been awarded Tax Credits, but the Extended Use Agreement will not be executed and recorded until </w:t>
      </w:r>
      <w:r w:rsidR="00BF38B4">
        <w:rPr>
          <w:b/>
          <w:bCs/>
          <w:sz w:val="24"/>
          <w:szCs w:val="24"/>
          <w:u w:color="0000FF"/>
        </w:rPr>
        <w:t xml:space="preserve">[DRAFTING NOTE:  SELECT CORRECT OPTION: </w:t>
      </w:r>
      <w:r w:rsidR="00BF38B4">
        <w:rPr>
          <w:sz w:val="24"/>
          <w:szCs w:val="24"/>
          <w:u w:color="0000FF"/>
        </w:rPr>
        <w:t>[</w:t>
      </w:r>
      <w:r w:rsidR="00B6375C" w:rsidRPr="00CC43C2">
        <w:rPr>
          <w:sz w:val="24"/>
          <w:szCs w:val="24"/>
          <w:u w:color="0000FF"/>
        </w:rPr>
        <w:t>after IRS Form 8609 is executed] [after the Mortgaged Property is placed in service (as described in Section 42 of the Internal Revenue Code)]</w:t>
      </w:r>
      <w:r w:rsidR="00BF38B4">
        <w:rPr>
          <w:b/>
          <w:bCs/>
          <w:sz w:val="24"/>
          <w:szCs w:val="24"/>
          <w:u w:color="0000FF"/>
        </w:rPr>
        <w:t>]</w:t>
      </w:r>
      <w:r w:rsidR="00B6375C" w:rsidRPr="00CC43C2">
        <w:rPr>
          <w:sz w:val="24"/>
          <w:szCs w:val="24"/>
          <w:u w:color="0000FF"/>
        </w:rPr>
        <w:t xml:space="preserve"> and</w:t>
      </w:r>
      <w:bookmarkEnd w:id="28"/>
    </w:p>
    <w:p w14:paraId="6F99A799" w14:textId="77777777" w:rsidR="00B6375C" w:rsidRPr="00CC43C2" w:rsidRDefault="00B6375C" w:rsidP="00B6375C">
      <w:pPr>
        <w:widowControl/>
        <w:suppressAutoHyphens/>
        <w:spacing w:after="240"/>
        <w:ind w:left="1440" w:right="720" w:firstLine="720"/>
        <w:jc w:val="both"/>
        <w:rPr>
          <w:sz w:val="24"/>
          <w:szCs w:val="24"/>
        </w:rPr>
      </w:pPr>
      <w:bookmarkStart w:id="29" w:name="_cp_change_213"/>
      <w:r w:rsidRPr="00CC43C2">
        <w:rPr>
          <w:sz w:val="24"/>
          <w:szCs w:val="24"/>
          <w:u w:color="0000FF"/>
        </w:rPr>
        <w:t>(1)</w:t>
      </w:r>
      <w:r w:rsidRPr="00CC43C2">
        <w:rPr>
          <w:sz w:val="24"/>
          <w:szCs w:val="24"/>
        </w:rPr>
        <w:tab/>
      </w:r>
      <w:r w:rsidRPr="00CC43C2">
        <w:rPr>
          <w:sz w:val="24"/>
          <w:szCs w:val="24"/>
          <w:u w:color="0000FF"/>
        </w:rPr>
        <w:t>Borrower has submitted the Tax Credit Application to receive an allocation of Tax Credits to the applicable Tax Credit Agency;</w:t>
      </w:r>
      <w:bookmarkStart w:id="30" w:name="_cp_change_212"/>
      <w:bookmarkEnd w:id="29"/>
    </w:p>
    <w:p w14:paraId="74BF952F" w14:textId="77777777" w:rsidR="00B6375C" w:rsidRPr="00CC43C2" w:rsidRDefault="00B6375C" w:rsidP="00B6375C">
      <w:pPr>
        <w:widowControl/>
        <w:suppressAutoHyphens/>
        <w:spacing w:after="240"/>
        <w:ind w:left="1440" w:right="720" w:firstLine="720"/>
        <w:jc w:val="both"/>
        <w:rPr>
          <w:sz w:val="24"/>
          <w:szCs w:val="24"/>
        </w:rPr>
      </w:pPr>
      <w:bookmarkStart w:id="31" w:name="_cp_change_215"/>
      <w:bookmarkEnd w:id="30"/>
      <w:r w:rsidRPr="00CC43C2">
        <w:rPr>
          <w:sz w:val="24"/>
          <w:szCs w:val="24"/>
          <w:u w:color="0000FF"/>
        </w:rPr>
        <w:lastRenderedPageBreak/>
        <w:t>(2)</w:t>
      </w:r>
      <w:r w:rsidRPr="00CC43C2">
        <w:rPr>
          <w:sz w:val="24"/>
          <w:szCs w:val="24"/>
        </w:rPr>
        <w:tab/>
      </w:r>
      <w:r w:rsidRPr="00CC43C2">
        <w:rPr>
          <w:sz w:val="24"/>
          <w:szCs w:val="24"/>
          <w:u w:color="0000FF"/>
        </w:rPr>
        <w:t>the Tax Credit Application is complete and accurate in all respects; and</w:t>
      </w:r>
      <w:bookmarkStart w:id="32" w:name="_cp_change_214"/>
      <w:bookmarkEnd w:id="31"/>
    </w:p>
    <w:p w14:paraId="63B261B1" w14:textId="3A13D8D9" w:rsidR="009033FA" w:rsidRPr="00CC43C2" w:rsidRDefault="00B6375C" w:rsidP="00CC43C2">
      <w:pPr>
        <w:widowControl/>
        <w:suppressAutoHyphens/>
        <w:spacing w:after="240"/>
        <w:ind w:left="1440" w:right="720" w:firstLine="720"/>
        <w:jc w:val="both"/>
        <w:rPr>
          <w:sz w:val="24"/>
          <w:szCs w:val="24"/>
        </w:rPr>
      </w:pPr>
      <w:bookmarkStart w:id="33" w:name="_cp_change_217"/>
      <w:bookmarkEnd w:id="32"/>
      <w:r w:rsidRPr="00CC43C2">
        <w:rPr>
          <w:sz w:val="24"/>
          <w:szCs w:val="24"/>
          <w:u w:color="0000FF"/>
        </w:rPr>
        <w:t>(3)</w:t>
      </w:r>
      <w:r w:rsidRPr="00CC43C2">
        <w:rPr>
          <w:sz w:val="24"/>
          <w:szCs w:val="24"/>
        </w:rPr>
        <w:tab/>
      </w:r>
      <w:r w:rsidRPr="00CC43C2">
        <w:rPr>
          <w:sz w:val="24"/>
          <w:szCs w:val="24"/>
          <w:u w:color="0000FF"/>
        </w:rPr>
        <w:t xml:space="preserve">Borrower </w:t>
      </w:r>
      <w:proofErr w:type="gramStart"/>
      <w:r w:rsidRPr="00CC43C2">
        <w:rPr>
          <w:sz w:val="24"/>
          <w:szCs w:val="24"/>
          <w:u w:color="0000FF"/>
        </w:rPr>
        <w:t>is in compliance with</w:t>
      </w:r>
      <w:proofErr w:type="gramEnd"/>
      <w:r w:rsidRPr="00CC43C2">
        <w:rPr>
          <w:sz w:val="24"/>
          <w:szCs w:val="24"/>
          <w:u w:color="0000FF"/>
        </w:rPr>
        <w:t xml:space="preserve"> all requirements of the Tax Credit Application.</w:t>
      </w:r>
      <w:r w:rsidRPr="00CC43C2">
        <w:rPr>
          <w:b/>
          <w:bCs/>
          <w:sz w:val="24"/>
          <w:szCs w:val="24"/>
          <w:u w:color="0000FF"/>
        </w:rPr>
        <w:t>]</w:t>
      </w:r>
      <w:bookmarkEnd w:id="33"/>
    </w:p>
    <w:p w14:paraId="4D5AB7D0" w14:textId="53C1E433" w:rsidR="009033FA" w:rsidRDefault="009033FA" w:rsidP="009033FA">
      <w:pPr>
        <w:widowControl/>
        <w:suppressAutoHyphens/>
        <w:spacing w:after="240"/>
        <w:ind w:left="720" w:right="720" w:firstLine="720"/>
        <w:jc w:val="both"/>
        <w:rPr>
          <w:sz w:val="24"/>
          <w:szCs w:val="24"/>
        </w:rPr>
      </w:pPr>
      <w:bookmarkStart w:id="34" w:name="_DV_M30"/>
      <w:bookmarkEnd w:id="34"/>
      <w:r>
        <w:rPr>
          <w:sz w:val="24"/>
          <w:szCs w:val="24"/>
        </w:rPr>
        <w:t>(d)</w:t>
      </w:r>
      <w:r>
        <w:rPr>
          <w:sz w:val="24"/>
          <w:szCs w:val="24"/>
        </w:rPr>
        <w:tab/>
        <w:t>The only tenant eligibility requirements or rent restrictions applicable to the Mortgaged Property or Borrower are those that apply to residential units pursuant to the Minimum Set-Aside Test elected by Borrower for the low-income units in the Mortgaged Property or as set forth in the Extended Use Agreement</w:t>
      </w:r>
      <w:r w:rsidR="00BF38B4">
        <w:rPr>
          <w:sz w:val="24"/>
          <w:szCs w:val="24"/>
        </w:rPr>
        <w:t xml:space="preserve"> </w:t>
      </w:r>
      <w:r w:rsidR="00BF38B4" w:rsidRPr="00BF38B4">
        <w:rPr>
          <w:b/>
          <w:bCs/>
          <w:sz w:val="24"/>
          <w:szCs w:val="24"/>
        </w:rPr>
        <w:t>[DRAFTING NOTE: IF THERE ARE OTHER RENT RESTRICTION AGREEMENTS OTHER THAN THE EXTENDED USE AGREEMENT THAT ARE ENUMERATED IN THE 6253 AND THE 6102.23, THEN ADD THE FOLLOWING LANGUAGE AT THE END:</w:t>
      </w:r>
      <w:r w:rsidR="00BF38B4" w:rsidRPr="00BF38B4">
        <w:rPr>
          <w:sz w:val="24"/>
          <w:szCs w:val="24"/>
        </w:rPr>
        <w:t xml:space="preserve"> or the other Rent Restriction Agreements</w:t>
      </w:r>
      <w:r w:rsidR="00BF38B4" w:rsidRPr="00BF38B4">
        <w:rPr>
          <w:b/>
          <w:bCs/>
          <w:sz w:val="24"/>
          <w:szCs w:val="24"/>
        </w:rPr>
        <w:t>]</w:t>
      </w:r>
      <w:r>
        <w:rPr>
          <w:sz w:val="24"/>
          <w:szCs w:val="24"/>
        </w:rPr>
        <w:t>.</w:t>
      </w:r>
    </w:p>
    <w:p w14:paraId="30D576EA" w14:textId="5F7F9E20" w:rsidR="009C32AF" w:rsidRDefault="009033FA" w:rsidP="009C32AF">
      <w:pPr>
        <w:widowControl/>
        <w:suppressAutoHyphens/>
        <w:spacing w:after="240"/>
        <w:ind w:left="720" w:right="720" w:firstLine="720"/>
        <w:jc w:val="both"/>
        <w:rPr>
          <w:sz w:val="24"/>
          <w:szCs w:val="24"/>
        </w:rPr>
      </w:pPr>
      <w:bookmarkStart w:id="35" w:name="_DV_M31"/>
      <w:bookmarkEnd w:id="35"/>
      <w:r>
        <w:rPr>
          <w:sz w:val="24"/>
          <w:szCs w:val="24"/>
        </w:rPr>
        <w:t>(e)</w:t>
      </w:r>
      <w:r>
        <w:rPr>
          <w:sz w:val="24"/>
          <w:szCs w:val="24"/>
        </w:rPr>
        <w:tab/>
      </w:r>
      <w:r w:rsidR="00BF38B4" w:rsidRPr="00BF38B4">
        <w:rPr>
          <w:sz w:val="24"/>
          <w:szCs w:val="24"/>
        </w:rPr>
        <w:t>Except as provided in Section 42(h)(6)(E)(ii) of the Internal Revenue Code, neither</w:t>
      </w:r>
      <w:r w:rsidR="00BF38B4">
        <w:rPr>
          <w:sz w:val="24"/>
          <w:szCs w:val="24"/>
        </w:rPr>
        <w:t xml:space="preserve"> </w:t>
      </w:r>
      <w:r>
        <w:rPr>
          <w:sz w:val="24"/>
          <w:szCs w:val="24"/>
        </w:rPr>
        <w:t>the Extended Use Agreement nor any other document, instrument or agreement to which Borrower is a party restricts, limits or waives the right of Lender to cause a termination of the Extended Use Agreement in accordance with Internal Revenue Code Section 42(h)(6)(E)(i)(I).</w:t>
      </w:r>
    </w:p>
    <w:p w14:paraId="525823D3" w14:textId="083FB153" w:rsidR="009C32AF" w:rsidRDefault="009C32AF" w:rsidP="009C32AF">
      <w:pPr>
        <w:widowControl/>
        <w:suppressAutoHyphens/>
        <w:spacing w:after="240"/>
        <w:ind w:left="720" w:right="720" w:firstLine="720"/>
        <w:jc w:val="both"/>
        <w:rPr>
          <w:sz w:val="24"/>
          <w:szCs w:val="24"/>
        </w:rPr>
      </w:pPr>
      <w:r>
        <w:rPr>
          <w:sz w:val="24"/>
          <w:szCs w:val="24"/>
        </w:rPr>
        <w:t xml:space="preserve">(f) </w:t>
      </w:r>
      <w:r>
        <w:rPr>
          <w:sz w:val="24"/>
          <w:szCs w:val="24"/>
        </w:rPr>
        <w:tab/>
      </w:r>
      <w:r w:rsidRPr="009B0A02">
        <w:rPr>
          <w:sz w:val="24"/>
          <w:szCs w:val="24"/>
        </w:rPr>
        <w:t>Borrower has received either (1) a final allocation of Tax Credits issued by the Tax Credit Agency for each applicable building of the Mortgaged Property, evidenced by IRS Form(s) 8609, or (2) a Conditional Allocation.</w:t>
      </w:r>
    </w:p>
    <w:p w14:paraId="43C4C337" w14:textId="77777777" w:rsidR="00C54481" w:rsidRPr="00AC7CCE" w:rsidRDefault="00C54481" w:rsidP="00C54481">
      <w:pPr>
        <w:keepNext/>
        <w:widowControl/>
        <w:suppressAutoHyphens/>
        <w:spacing w:after="240"/>
        <w:ind w:left="734" w:right="720" w:hanging="14"/>
        <w:jc w:val="both"/>
        <w:rPr>
          <w:sz w:val="24"/>
          <w:szCs w:val="24"/>
        </w:rPr>
      </w:pPr>
      <w:r w:rsidRPr="00AC7CCE">
        <w:rPr>
          <w:b/>
          <w:sz w:val="24"/>
          <w:szCs w:val="24"/>
        </w:rPr>
        <w:t>Section [__].0</w:t>
      </w:r>
      <w:r w:rsidR="00A94049">
        <w:rPr>
          <w:b/>
          <w:sz w:val="24"/>
          <w:szCs w:val="24"/>
        </w:rPr>
        <w:t>3</w:t>
      </w:r>
      <w:r w:rsidRPr="00AC7CCE">
        <w:rPr>
          <w:b/>
          <w:sz w:val="24"/>
          <w:szCs w:val="24"/>
        </w:rPr>
        <w:tab/>
        <w:t xml:space="preserve">Tax Credit </w:t>
      </w:r>
      <w:r>
        <w:rPr>
          <w:b/>
          <w:sz w:val="24"/>
          <w:szCs w:val="24"/>
        </w:rPr>
        <w:t>Covenants.</w:t>
      </w:r>
    </w:p>
    <w:p w14:paraId="6E81F57C" w14:textId="6581D323" w:rsidR="009033FA" w:rsidRPr="00CC43C2" w:rsidRDefault="009033FA" w:rsidP="009033FA">
      <w:pPr>
        <w:widowControl/>
        <w:suppressAutoHyphens/>
        <w:spacing w:after="240"/>
        <w:ind w:left="720" w:right="720" w:firstLine="720"/>
        <w:jc w:val="both"/>
        <w:rPr>
          <w:sz w:val="24"/>
          <w:szCs w:val="24"/>
        </w:rPr>
      </w:pPr>
      <w:r>
        <w:rPr>
          <w:sz w:val="24"/>
          <w:szCs w:val="24"/>
        </w:rPr>
        <w:t>(a)</w:t>
      </w:r>
      <w:r>
        <w:rPr>
          <w:sz w:val="24"/>
          <w:szCs w:val="24"/>
        </w:rPr>
        <w:tab/>
        <w:t xml:space="preserve">Borrower and the Mortgaged Property </w:t>
      </w:r>
      <w:r w:rsidR="00D16C38">
        <w:rPr>
          <w:sz w:val="24"/>
          <w:szCs w:val="24"/>
        </w:rPr>
        <w:t xml:space="preserve">shall </w:t>
      </w:r>
      <w:r>
        <w:rPr>
          <w:sz w:val="24"/>
          <w:szCs w:val="24"/>
        </w:rPr>
        <w:t>satisfy all restrictions and requirements, including tenant income and rent restrictions and record-keeping and retention requirements, applicable to projects generating Tax Credits under Section 42 of the Internal Revenue Code</w:t>
      </w:r>
      <w:r w:rsidR="00B6375C" w:rsidRPr="00CC43C2">
        <w:rPr>
          <w:sz w:val="24"/>
          <w:szCs w:val="24"/>
          <w:u w:color="0000FF"/>
        </w:rPr>
        <w:t xml:space="preserve"> within all applicable timeframes set forth thereunder</w:t>
      </w:r>
      <w:r w:rsidRPr="00CC43C2">
        <w:rPr>
          <w:sz w:val="24"/>
          <w:szCs w:val="24"/>
        </w:rPr>
        <w:t>.</w:t>
      </w:r>
    </w:p>
    <w:p w14:paraId="0AB39474" w14:textId="4A873E63" w:rsidR="009033FA" w:rsidRDefault="009033FA" w:rsidP="009033FA">
      <w:pPr>
        <w:widowControl/>
        <w:suppressAutoHyphens/>
        <w:spacing w:after="240"/>
        <w:ind w:left="720" w:right="720" w:firstLine="720"/>
        <w:jc w:val="both"/>
        <w:rPr>
          <w:sz w:val="24"/>
          <w:szCs w:val="24"/>
        </w:rPr>
      </w:pPr>
      <w:bookmarkStart w:id="36" w:name="_DV_M35"/>
      <w:bookmarkEnd w:id="36"/>
      <w:r>
        <w:rPr>
          <w:sz w:val="24"/>
          <w:szCs w:val="24"/>
        </w:rPr>
        <w:t>(b)</w:t>
      </w:r>
      <w:r>
        <w:rPr>
          <w:sz w:val="24"/>
          <w:szCs w:val="24"/>
        </w:rPr>
        <w:tab/>
        <w:t>Borrower and the Mortgaged Property shall satisfy all covenants and restrictions</w:t>
      </w:r>
      <w:r w:rsidR="00CC43C2">
        <w:rPr>
          <w:sz w:val="24"/>
          <w:szCs w:val="24"/>
        </w:rPr>
        <w:t xml:space="preserve"> </w:t>
      </w:r>
      <w:r w:rsidR="009C32AF">
        <w:rPr>
          <w:sz w:val="24"/>
          <w:szCs w:val="24"/>
        </w:rPr>
        <w:t xml:space="preserve">set forth in the </w:t>
      </w:r>
      <w:r w:rsidR="009C32AF" w:rsidRPr="00200896">
        <w:rPr>
          <w:sz w:val="24"/>
          <w:szCs w:val="24"/>
        </w:rPr>
        <w:t>Tax Credit Application until the execution and recordation of the Extended Use Agreement, after which time Borrower and the Mortgaged Property shall satisfy all covenants and restrictions set forth in the Extended Use Agreement</w:t>
      </w:r>
      <w:r>
        <w:rPr>
          <w:sz w:val="24"/>
          <w:szCs w:val="24"/>
        </w:rPr>
        <w:t>.</w:t>
      </w:r>
    </w:p>
    <w:p w14:paraId="2652EA1A" w14:textId="0CF59027" w:rsidR="009033FA" w:rsidRDefault="009033FA" w:rsidP="009033FA">
      <w:pPr>
        <w:widowControl/>
        <w:suppressAutoHyphens/>
        <w:spacing w:after="240"/>
        <w:ind w:left="720" w:right="720" w:firstLine="720"/>
        <w:jc w:val="both"/>
        <w:rPr>
          <w:sz w:val="24"/>
          <w:szCs w:val="24"/>
        </w:rPr>
      </w:pPr>
      <w:bookmarkStart w:id="37" w:name="_DV_M36"/>
      <w:bookmarkEnd w:id="37"/>
      <w:r>
        <w:rPr>
          <w:sz w:val="24"/>
          <w:szCs w:val="24"/>
        </w:rPr>
        <w:t>(c)</w:t>
      </w:r>
      <w:r>
        <w:rPr>
          <w:sz w:val="24"/>
          <w:szCs w:val="24"/>
        </w:rPr>
        <w:tab/>
        <w:t>The only tenant eligibility requirements or rent restrictions applicable to the Mortgaged Property or Borrower shall be those that apply to residential units pursuant to the Minimum Set-Aside Test elected by Borrower for the low-income units in the Mortgaged Property or as set forth in the Extended Use Agreement</w:t>
      </w:r>
      <w:r w:rsidR="00BF38B4">
        <w:rPr>
          <w:sz w:val="24"/>
          <w:szCs w:val="24"/>
        </w:rPr>
        <w:t xml:space="preserve"> </w:t>
      </w:r>
      <w:r w:rsidR="00BF38B4" w:rsidRPr="00BF38B4">
        <w:rPr>
          <w:b/>
          <w:bCs/>
          <w:sz w:val="24"/>
          <w:szCs w:val="24"/>
        </w:rPr>
        <w:t xml:space="preserve">[DRAFTING NOTE: IF THERE ARE OTHER RENT </w:t>
      </w:r>
      <w:r w:rsidR="00BF38B4" w:rsidRPr="00BF38B4">
        <w:rPr>
          <w:b/>
          <w:bCs/>
          <w:sz w:val="24"/>
          <w:szCs w:val="24"/>
        </w:rPr>
        <w:lastRenderedPageBreak/>
        <w:t>RESTRICTION AGREEMENTS OTHER THAN THE EXTENDED USE AGREEMENT THAT ARE ENUMERATED IN THE 6253 AND THE 6102.23, THEN ADD THE FOLLOWING LANGUAGE AT THE END:</w:t>
      </w:r>
      <w:r w:rsidR="00BF38B4" w:rsidRPr="00BF38B4">
        <w:rPr>
          <w:sz w:val="24"/>
          <w:szCs w:val="24"/>
        </w:rPr>
        <w:t xml:space="preserve"> or the other Rent Restriction Agreements</w:t>
      </w:r>
      <w:r w:rsidR="00BF38B4" w:rsidRPr="00BF38B4">
        <w:rPr>
          <w:b/>
          <w:bCs/>
          <w:sz w:val="24"/>
          <w:szCs w:val="24"/>
        </w:rPr>
        <w:t>]</w:t>
      </w:r>
      <w:r w:rsidR="000C0CFB">
        <w:rPr>
          <w:sz w:val="24"/>
          <w:szCs w:val="24"/>
        </w:rPr>
        <w:t>.</w:t>
      </w:r>
    </w:p>
    <w:p w14:paraId="55EBB79E" w14:textId="0383F9B9" w:rsidR="009033FA" w:rsidRDefault="009033FA" w:rsidP="009033FA">
      <w:pPr>
        <w:widowControl/>
        <w:suppressAutoHyphens/>
        <w:spacing w:after="240"/>
        <w:ind w:left="720" w:right="720" w:firstLine="720"/>
        <w:jc w:val="both"/>
        <w:rPr>
          <w:sz w:val="24"/>
          <w:szCs w:val="24"/>
        </w:rPr>
      </w:pPr>
      <w:bookmarkStart w:id="38" w:name="_DV_M37"/>
      <w:bookmarkEnd w:id="38"/>
      <w:r>
        <w:rPr>
          <w:sz w:val="24"/>
          <w:szCs w:val="24"/>
        </w:rPr>
        <w:t>(d)</w:t>
      </w:r>
      <w:r>
        <w:rPr>
          <w:sz w:val="24"/>
          <w:szCs w:val="24"/>
        </w:rPr>
        <w:tab/>
        <w:t xml:space="preserve"> </w:t>
      </w:r>
      <w:r w:rsidR="00B6375C" w:rsidRPr="00B6375C">
        <w:rPr>
          <w:sz w:val="24"/>
          <w:szCs w:val="24"/>
        </w:rPr>
        <w:t xml:space="preserve">Except as provided in Section 42(h)(6)(E)(ii) of the Internal Revenue Code, neither </w:t>
      </w:r>
      <w:r>
        <w:rPr>
          <w:sz w:val="24"/>
          <w:szCs w:val="24"/>
        </w:rPr>
        <w:t>the Extended Use Agreement nor any other document, instrument or agreement to which Borrower is a party shall restrict, limit or waive the right of Lender to cause a termination of the Extended Use Agreement in accordance with Internal Revenue Code Section 42(h)(6)(E)(i)(I).</w:t>
      </w:r>
    </w:p>
    <w:p w14:paraId="788F4FC7" w14:textId="478835B7" w:rsidR="00B6375C" w:rsidRDefault="00B6375C" w:rsidP="009033FA">
      <w:pPr>
        <w:widowControl/>
        <w:suppressAutoHyphens/>
        <w:spacing w:after="240"/>
        <w:ind w:left="720" w:right="720" w:firstLine="720"/>
        <w:jc w:val="both"/>
        <w:rPr>
          <w:sz w:val="24"/>
          <w:szCs w:val="24"/>
        </w:rPr>
      </w:pPr>
      <w:r>
        <w:rPr>
          <w:sz w:val="24"/>
          <w:szCs w:val="24"/>
        </w:rPr>
        <w:t xml:space="preserve">(e) </w:t>
      </w:r>
      <w:r>
        <w:rPr>
          <w:sz w:val="24"/>
          <w:szCs w:val="24"/>
        </w:rPr>
        <w:tab/>
      </w:r>
      <w:r w:rsidRPr="00B6375C">
        <w:rPr>
          <w:sz w:val="24"/>
          <w:szCs w:val="24"/>
        </w:rPr>
        <w:t xml:space="preserve">Notwithstanding anything to the contrary contained in this </w:t>
      </w:r>
      <w:r w:rsidR="00C9239E">
        <w:rPr>
          <w:sz w:val="24"/>
          <w:szCs w:val="24"/>
        </w:rPr>
        <w:t xml:space="preserve">Loan </w:t>
      </w:r>
      <w:r w:rsidRPr="00B6375C">
        <w:rPr>
          <w:sz w:val="24"/>
          <w:szCs w:val="24"/>
        </w:rPr>
        <w:t>Agreement or the Extended Use Agreement, Borrower shall not pursue a qualified contract or participate in a qualified contract process as described under Internal Revenue Code Section 42(h)(6)(E)(i)(II) without the prior written consent of Lender.</w:t>
      </w:r>
    </w:p>
    <w:p w14:paraId="607BD398" w14:textId="790FD9AA" w:rsidR="00937514" w:rsidRPr="00937514" w:rsidRDefault="009033FA" w:rsidP="00CC43C2">
      <w:pPr>
        <w:widowControl/>
        <w:suppressAutoHyphens/>
        <w:spacing w:after="240"/>
        <w:ind w:left="720" w:right="720" w:firstLine="720"/>
        <w:jc w:val="both"/>
        <w:rPr>
          <w:sz w:val="24"/>
          <w:szCs w:val="24"/>
        </w:rPr>
      </w:pPr>
      <w:bookmarkStart w:id="39" w:name="_DV_M38"/>
      <w:bookmarkEnd w:id="39"/>
      <w:r>
        <w:rPr>
          <w:sz w:val="24"/>
          <w:szCs w:val="24"/>
        </w:rPr>
        <w:t>(</w:t>
      </w:r>
      <w:r w:rsidR="00B6375C">
        <w:rPr>
          <w:sz w:val="24"/>
          <w:szCs w:val="24"/>
        </w:rPr>
        <w:t>f</w:t>
      </w:r>
      <w:r>
        <w:rPr>
          <w:sz w:val="24"/>
          <w:szCs w:val="24"/>
        </w:rPr>
        <w:t>)</w:t>
      </w:r>
      <w:r>
        <w:rPr>
          <w:sz w:val="24"/>
          <w:szCs w:val="24"/>
        </w:rPr>
        <w:tab/>
      </w:r>
      <w:r w:rsidR="00937514">
        <w:rPr>
          <w:sz w:val="24"/>
          <w:szCs w:val="24"/>
        </w:rPr>
        <w:t>B</w:t>
      </w:r>
      <w:r w:rsidR="00937514" w:rsidRPr="00937514">
        <w:rPr>
          <w:sz w:val="24"/>
          <w:szCs w:val="24"/>
        </w:rPr>
        <w:t>orrower shall:</w:t>
      </w:r>
    </w:p>
    <w:p w14:paraId="09715A45" w14:textId="77777777" w:rsidR="00937514" w:rsidRPr="00937514" w:rsidRDefault="00937514" w:rsidP="00CC43C2">
      <w:pPr>
        <w:widowControl/>
        <w:suppressAutoHyphens/>
        <w:spacing w:after="240"/>
        <w:ind w:left="1440" w:right="720" w:firstLine="720"/>
        <w:jc w:val="both"/>
        <w:rPr>
          <w:sz w:val="24"/>
          <w:szCs w:val="24"/>
        </w:rPr>
      </w:pPr>
      <w:r w:rsidRPr="00937514">
        <w:rPr>
          <w:sz w:val="24"/>
          <w:szCs w:val="24"/>
        </w:rPr>
        <w:t>(1)</w:t>
      </w:r>
      <w:r w:rsidRPr="00937514">
        <w:rPr>
          <w:sz w:val="24"/>
          <w:szCs w:val="24"/>
        </w:rPr>
        <w:tab/>
        <w:t>comply with the Minimum Set-Aside Test, the Rent Restriction Test, and any other requirements to continue to qualify for Tax Credits, including all applicable requirements set forth in the Extended Use Agreement;</w:t>
      </w:r>
    </w:p>
    <w:p w14:paraId="5CA0B9B2" w14:textId="0838B189" w:rsidR="00937514" w:rsidRPr="00937514" w:rsidRDefault="00937514" w:rsidP="00CC43C2">
      <w:pPr>
        <w:widowControl/>
        <w:suppressAutoHyphens/>
        <w:spacing w:after="240"/>
        <w:ind w:left="1440" w:right="720" w:firstLine="720"/>
        <w:jc w:val="both"/>
        <w:rPr>
          <w:sz w:val="24"/>
          <w:szCs w:val="24"/>
        </w:rPr>
      </w:pPr>
      <w:r w:rsidRPr="00937514">
        <w:rPr>
          <w:sz w:val="24"/>
          <w:szCs w:val="24"/>
        </w:rPr>
        <w:t>(2)</w:t>
      </w:r>
      <w:r w:rsidRPr="00937514">
        <w:rPr>
          <w:sz w:val="24"/>
          <w:szCs w:val="24"/>
        </w:rPr>
        <w:tab/>
        <w:t>diligently pursue and receive a final allocation of Tax Credits issued by the Tax Credit Agency for each applicable building of the Mortgaged Property, evidenced by IRS Form(s)</w:t>
      </w:r>
      <w:r w:rsidR="00CC43C2">
        <w:rPr>
          <w:sz w:val="24"/>
          <w:szCs w:val="24"/>
        </w:rPr>
        <w:t> </w:t>
      </w:r>
      <w:r w:rsidRPr="00937514">
        <w:rPr>
          <w:sz w:val="24"/>
          <w:szCs w:val="24"/>
        </w:rPr>
        <w:t>8609 (if not previously issued prior to the Effective Date); and</w:t>
      </w:r>
    </w:p>
    <w:p w14:paraId="4EF00FE0" w14:textId="31EFD933" w:rsidR="009033FA" w:rsidRDefault="00937514" w:rsidP="00CC43C2">
      <w:pPr>
        <w:widowControl/>
        <w:suppressAutoHyphens/>
        <w:spacing w:after="240"/>
        <w:ind w:left="1440" w:right="720" w:firstLine="720"/>
        <w:jc w:val="both"/>
        <w:rPr>
          <w:sz w:val="24"/>
          <w:szCs w:val="24"/>
        </w:rPr>
      </w:pPr>
      <w:r w:rsidRPr="00937514">
        <w:rPr>
          <w:sz w:val="24"/>
          <w:szCs w:val="24"/>
        </w:rPr>
        <w:t>(3)</w:t>
      </w:r>
      <w:r w:rsidRPr="00937514">
        <w:rPr>
          <w:sz w:val="24"/>
          <w:szCs w:val="24"/>
        </w:rPr>
        <w:tab/>
        <w:t>obtain and maintain issuance of all necessary permanent, unconditional certificates of occupancy, including all governmental approvals required to permit occupancy of all the units, at all times during which such certificates of occupancy are required to be met to qualify for the full amount of the Tax Credits and remain in compliance with Section 42(l) of the Internal Revenue Code.</w:t>
      </w:r>
    </w:p>
    <w:p w14:paraId="37316886" w14:textId="43BCB241" w:rsidR="00937514" w:rsidRPr="00C9239E" w:rsidRDefault="00C9239E" w:rsidP="00CC43C2">
      <w:pPr>
        <w:widowControl/>
        <w:suppressAutoHyphens/>
        <w:spacing w:after="240"/>
        <w:ind w:left="720" w:right="720" w:firstLine="720"/>
        <w:jc w:val="both"/>
        <w:rPr>
          <w:b/>
          <w:bCs/>
          <w:sz w:val="24"/>
          <w:szCs w:val="24"/>
        </w:rPr>
      </w:pPr>
      <w:r w:rsidRPr="00C9239E">
        <w:rPr>
          <w:b/>
          <w:bCs/>
          <w:sz w:val="24"/>
          <w:szCs w:val="24"/>
        </w:rPr>
        <w:t>[DRAFTING NOTE: INCLUDE IF AN EXTENDED USE AGREEMENT WILL BE RECORDED POST-CLOSING:</w:t>
      </w:r>
      <w:r>
        <w:rPr>
          <w:sz w:val="24"/>
          <w:szCs w:val="24"/>
        </w:rPr>
        <w:t xml:space="preserve"> </w:t>
      </w:r>
      <w:r w:rsidR="00937514">
        <w:rPr>
          <w:sz w:val="24"/>
          <w:szCs w:val="24"/>
        </w:rPr>
        <w:t>(g)</w:t>
      </w:r>
      <w:r w:rsidR="00CC43C2">
        <w:rPr>
          <w:sz w:val="24"/>
          <w:szCs w:val="24"/>
        </w:rPr>
        <w:tab/>
      </w:r>
      <w:r w:rsidR="00937514" w:rsidRPr="003A5314">
        <w:rPr>
          <w:sz w:val="24"/>
          <w:szCs w:val="24"/>
        </w:rPr>
        <w:t xml:space="preserve">Borrower shall execute and cause the Extended Use Agreement to be recorded against the Mortgaged Property </w:t>
      </w:r>
      <w:r w:rsidR="00937514">
        <w:rPr>
          <w:sz w:val="24"/>
          <w:szCs w:val="24"/>
        </w:rPr>
        <w:t>(</w:t>
      </w:r>
      <w:r w:rsidR="00937514" w:rsidRPr="003A5314">
        <w:rPr>
          <w:sz w:val="24"/>
          <w:szCs w:val="24"/>
        </w:rPr>
        <w:t>in connection with the new allocation of Tax Credits</w:t>
      </w:r>
      <w:r w:rsidR="00937514">
        <w:rPr>
          <w:sz w:val="24"/>
          <w:szCs w:val="24"/>
        </w:rPr>
        <w:t xml:space="preserve"> (if applicable))</w:t>
      </w:r>
      <w:r w:rsidR="00937514" w:rsidRPr="003A5314">
        <w:rPr>
          <w:sz w:val="24"/>
          <w:szCs w:val="24"/>
        </w:rPr>
        <w:t xml:space="preserve"> in accordance with requirements imposed by Tax Credit Agency.  Notwithstanding the foregoing, Borrower acknowledges and agrees that the recording of the Extended Use Agreement in connection with the Tax Credits shall require the prior written consent of Lender pursuant to Section</w:t>
      </w:r>
      <w:r w:rsidR="00CC43C2">
        <w:rPr>
          <w:sz w:val="24"/>
          <w:szCs w:val="24"/>
        </w:rPr>
        <w:t> </w:t>
      </w:r>
      <w:r w:rsidR="00937514" w:rsidRPr="003A5314">
        <w:rPr>
          <w:sz w:val="24"/>
          <w:szCs w:val="24"/>
        </w:rPr>
        <w:t>11.02(b)(1)(E).  In addition to the requirements specified in Section</w:t>
      </w:r>
      <w:r w:rsidR="00CC43C2">
        <w:rPr>
          <w:sz w:val="24"/>
          <w:szCs w:val="24"/>
        </w:rPr>
        <w:t> </w:t>
      </w:r>
      <w:r w:rsidR="00937514" w:rsidRPr="003A5314">
        <w:rPr>
          <w:sz w:val="24"/>
          <w:szCs w:val="24"/>
        </w:rPr>
        <w:t xml:space="preserve">11.02(b)(1)(E), Lender’s consent </w:t>
      </w:r>
      <w:r w:rsidR="00937514" w:rsidRPr="003A5314">
        <w:rPr>
          <w:sz w:val="24"/>
          <w:szCs w:val="24"/>
        </w:rPr>
        <w:lastRenderedPageBreak/>
        <w:t>shall be subject to Lender determining that the Extended Use Agreement (i)</w:t>
      </w:r>
      <w:r w:rsidR="00CC43C2">
        <w:rPr>
          <w:sz w:val="24"/>
          <w:szCs w:val="24"/>
        </w:rPr>
        <w:t> </w:t>
      </w:r>
      <w:r w:rsidR="00937514" w:rsidRPr="003A5314">
        <w:rPr>
          <w:sz w:val="24"/>
          <w:szCs w:val="24"/>
        </w:rPr>
        <w:t>complies with Lender’s underwriting and servicing requirements or (ii)</w:t>
      </w:r>
      <w:r w:rsidR="00CC43C2">
        <w:rPr>
          <w:sz w:val="24"/>
          <w:szCs w:val="24"/>
        </w:rPr>
        <w:t> </w:t>
      </w:r>
      <w:r w:rsidR="00937514" w:rsidRPr="003A5314">
        <w:rPr>
          <w:sz w:val="24"/>
          <w:szCs w:val="24"/>
        </w:rPr>
        <w:t>is otherwise subordinated to the lien of the Security Instrument pursuant to a subordination agreement</w:t>
      </w:r>
      <w:r w:rsidR="00937514">
        <w:rPr>
          <w:sz w:val="24"/>
          <w:szCs w:val="24"/>
        </w:rPr>
        <w:t xml:space="preserve"> or, if permitted by Lender, </w:t>
      </w:r>
      <w:r w:rsidR="00937514" w:rsidRPr="003A5314">
        <w:rPr>
          <w:sz w:val="24"/>
          <w:szCs w:val="24"/>
        </w:rPr>
        <w:t>subject to a standstill agreement</w:t>
      </w:r>
      <w:r w:rsidR="00937514">
        <w:rPr>
          <w:sz w:val="24"/>
          <w:szCs w:val="24"/>
        </w:rPr>
        <w:t>, in either case as required by and</w:t>
      </w:r>
      <w:r w:rsidR="00937514" w:rsidRPr="003A5314">
        <w:rPr>
          <w:sz w:val="24"/>
          <w:szCs w:val="24"/>
        </w:rPr>
        <w:t xml:space="preserve"> in a form and a substance satisfactory to Lender.</w:t>
      </w:r>
      <w:r>
        <w:rPr>
          <w:b/>
          <w:bCs/>
          <w:sz w:val="24"/>
          <w:szCs w:val="24"/>
        </w:rPr>
        <w:t>]</w:t>
      </w:r>
    </w:p>
    <w:p w14:paraId="447F9FDE" w14:textId="2E3586B8" w:rsidR="007E425F" w:rsidRPr="00CC43C2" w:rsidRDefault="00CC43C2" w:rsidP="00CC43C2">
      <w:pPr>
        <w:widowControl/>
        <w:tabs>
          <w:tab w:val="left" w:pos="-720"/>
        </w:tabs>
        <w:suppressAutoHyphens/>
        <w:spacing w:after="960"/>
        <w:jc w:val="center"/>
        <w:rPr>
          <w:b/>
          <w:bCs/>
          <w:sz w:val="24"/>
          <w:szCs w:val="24"/>
        </w:rPr>
      </w:pPr>
      <w:r>
        <w:rPr>
          <w:b/>
          <w:bCs/>
          <w:sz w:val="24"/>
          <w:szCs w:val="24"/>
        </w:rPr>
        <w:t>[Remainder of Page Intentionally Blank]</w:t>
      </w:r>
    </w:p>
    <w:sectPr w:rsidR="007E425F" w:rsidRPr="00CC43C2" w:rsidSect="00C72F00">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D5FAD" w14:textId="77777777" w:rsidR="00DF3CC6" w:rsidRDefault="00DF3CC6">
      <w:pPr>
        <w:spacing w:line="20" w:lineRule="exact"/>
        <w:rPr>
          <w:sz w:val="24"/>
        </w:rPr>
      </w:pPr>
    </w:p>
  </w:endnote>
  <w:endnote w:type="continuationSeparator" w:id="0">
    <w:p w14:paraId="3F745419" w14:textId="77777777" w:rsidR="00DF3CC6" w:rsidRDefault="00DF3CC6">
      <w:r>
        <w:rPr>
          <w:sz w:val="24"/>
        </w:rPr>
        <w:t xml:space="preserve"> </w:t>
      </w:r>
    </w:p>
  </w:endnote>
  <w:endnote w:type="continuationNotice" w:id="1">
    <w:p w14:paraId="442A7D8C" w14:textId="77777777" w:rsidR="00DF3CC6" w:rsidRDefault="00DF3CC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C929" w14:textId="77777777" w:rsidR="00D533E4" w:rsidRDefault="00D533E4" w:rsidP="002B01DF"/>
  <w:tbl>
    <w:tblPr>
      <w:tblW w:w="9690" w:type="dxa"/>
      <w:tblInd w:w="-90" w:type="dxa"/>
      <w:tblLook w:val="01E0" w:firstRow="1" w:lastRow="1" w:firstColumn="1" w:lastColumn="1" w:noHBand="0" w:noVBand="0"/>
    </w:tblPr>
    <w:tblGrid>
      <w:gridCol w:w="4038"/>
      <w:gridCol w:w="2460"/>
      <w:gridCol w:w="3192"/>
    </w:tblGrid>
    <w:tr w:rsidR="00A94049" w14:paraId="29CE67EE" w14:textId="77777777" w:rsidTr="00A94049">
      <w:tc>
        <w:tcPr>
          <w:tcW w:w="4038" w:type="dxa"/>
          <w:shd w:val="clear" w:color="auto" w:fill="auto"/>
          <w:vAlign w:val="bottom"/>
        </w:tcPr>
        <w:p w14:paraId="7981D80C" w14:textId="77777777" w:rsidR="00A94049" w:rsidRPr="00750C47" w:rsidRDefault="00A94049" w:rsidP="004A7ACA">
          <w:pPr>
            <w:pStyle w:val="Footer"/>
            <w:rPr>
              <w:b/>
            </w:rPr>
          </w:pPr>
          <w:r w:rsidRPr="00750C47">
            <w:rPr>
              <w:b/>
            </w:rPr>
            <w:t>Modifications to Multifamily Loan and Security Agreement (Tax Credit Properties</w:t>
          </w:r>
          <w:r>
            <w:rPr>
              <w:b/>
            </w:rPr>
            <w:t xml:space="preserve"> </w:t>
          </w:r>
          <w:r w:rsidR="004A7ACA">
            <w:rPr>
              <w:b/>
            </w:rPr>
            <w:t xml:space="preserve">- </w:t>
          </w:r>
          <w:r>
            <w:rPr>
              <w:b/>
            </w:rPr>
            <w:t>No Equity Investor)</w:t>
          </w:r>
        </w:p>
      </w:tc>
      <w:tc>
        <w:tcPr>
          <w:tcW w:w="2460" w:type="dxa"/>
          <w:shd w:val="clear" w:color="auto" w:fill="auto"/>
          <w:vAlign w:val="bottom"/>
        </w:tcPr>
        <w:p w14:paraId="054A405F" w14:textId="77777777" w:rsidR="00A94049" w:rsidRPr="00750C47" w:rsidRDefault="00A94049" w:rsidP="007333EB">
          <w:pPr>
            <w:pStyle w:val="Footer"/>
            <w:jc w:val="center"/>
            <w:rPr>
              <w:b/>
            </w:rPr>
          </w:pPr>
          <w:r>
            <w:rPr>
              <w:b/>
            </w:rPr>
            <w:t>Form 621</w:t>
          </w:r>
          <w:r w:rsidR="00965904">
            <w:rPr>
              <w:b/>
            </w:rPr>
            <w:t>9.</w:t>
          </w:r>
          <w:r w:rsidR="007333EB">
            <w:rPr>
              <w:b/>
            </w:rPr>
            <w:t>ALT</w:t>
          </w:r>
        </w:p>
      </w:tc>
      <w:tc>
        <w:tcPr>
          <w:tcW w:w="3192" w:type="dxa"/>
          <w:shd w:val="clear" w:color="auto" w:fill="auto"/>
          <w:vAlign w:val="bottom"/>
        </w:tcPr>
        <w:p w14:paraId="0C94214E" w14:textId="77777777" w:rsidR="00A94049" w:rsidRPr="00750C47" w:rsidRDefault="00A94049" w:rsidP="00A94049">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sidR="007333EB">
            <w:rPr>
              <w:rStyle w:val="PageNumber"/>
              <w:b/>
              <w:noProof/>
            </w:rPr>
            <w:t>2</w:t>
          </w:r>
          <w:r w:rsidRPr="00750C47">
            <w:rPr>
              <w:rStyle w:val="PageNumber"/>
              <w:b/>
            </w:rPr>
            <w:fldChar w:fldCharType="end"/>
          </w:r>
        </w:p>
      </w:tc>
    </w:tr>
    <w:tr w:rsidR="00D533E4" w14:paraId="4274F491" w14:textId="77777777" w:rsidTr="00A94049">
      <w:tc>
        <w:tcPr>
          <w:tcW w:w="4038" w:type="dxa"/>
          <w:shd w:val="clear" w:color="auto" w:fill="auto"/>
          <w:vAlign w:val="bottom"/>
        </w:tcPr>
        <w:p w14:paraId="6E75F0F2" w14:textId="77777777" w:rsidR="00D533E4" w:rsidRPr="00750C47" w:rsidRDefault="00D533E4" w:rsidP="002B01DF">
          <w:pPr>
            <w:pStyle w:val="Footer"/>
            <w:rPr>
              <w:b/>
            </w:rPr>
          </w:pPr>
          <w:r w:rsidRPr="00750C47">
            <w:rPr>
              <w:b/>
            </w:rPr>
            <w:t>Fannie Mae</w:t>
          </w:r>
        </w:p>
      </w:tc>
      <w:tc>
        <w:tcPr>
          <w:tcW w:w="2460" w:type="dxa"/>
          <w:shd w:val="clear" w:color="auto" w:fill="auto"/>
          <w:vAlign w:val="bottom"/>
        </w:tcPr>
        <w:p w14:paraId="3DA96BCD" w14:textId="0D09886B" w:rsidR="00D533E4" w:rsidRPr="00750C47" w:rsidRDefault="006F19E3" w:rsidP="0090412F">
          <w:pPr>
            <w:pStyle w:val="Footer"/>
            <w:jc w:val="center"/>
            <w:rPr>
              <w:b/>
            </w:rPr>
          </w:pPr>
          <w:r>
            <w:rPr>
              <w:b/>
            </w:rPr>
            <w:t>06</w:t>
          </w:r>
          <w:r w:rsidR="003B1973">
            <w:rPr>
              <w:b/>
            </w:rPr>
            <w:t>-26</w:t>
          </w:r>
        </w:p>
      </w:tc>
      <w:tc>
        <w:tcPr>
          <w:tcW w:w="3192" w:type="dxa"/>
          <w:shd w:val="clear" w:color="auto" w:fill="auto"/>
          <w:vAlign w:val="bottom"/>
        </w:tcPr>
        <w:p w14:paraId="279962ED" w14:textId="48D9E0AF" w:rsidR="00D533E4" w:rsidRPr="00750C47" w:rsidRDefault="00D533E4" w:rsidP="00A94049">
          <w:pPr>
            <w:pStyle w:val="Footer"/>
            <w:jc w:val="right"/>
            <w:rPr>
              <w:b/>
            </w:rPr>
          </w:pPr>
          <w:r w:rsidRPr="00750C47">
            <w:rPr>
              <w:b/>
            </w:rPr>
            <w:t>© 20</w:t>
          </w:r>
          <w:r w:rsidR="00D70821">
            <w:rPr>
              <w:b/>
            </w:rPr>
            <w:t>2</w:t>
          </w:r>
          <w:r w:rsidR="003B1973">
            <w:rPr>
              <w:b/>
            </w:rPr>
            <w:t>6</w:t>
          </w:r>
          <w:r w:rsidRPr="00750C47">
            <w:rPr>
              <w:b/>
            </w:rPr>
            <w:t xml:space="preserve"> Fannie Mae</w:t>
          </w:r>
        </w:p>
      </w:tc>
    </w:tr>
  </w:tbl>
  <w:p w14:paraId="1BD729AE" w14:textId="77777777" w:rsidR="00D533E4" w:rsidRPr="002B01DF" w:rsidRDefault="00D533E4" w:rsidP="002B0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FB68" w14:textId="77777777" w:rsidR="00D533E4" w:rsidRDefault="00D533E4" w:rsidP="002B01DF"/>
  <w:tbl>
    <w:tblPr>
      <w:tblW w:w="9690" w:type="dxa"/>
      <w:tblInd w:w="-90" w:type="dxa"/>
      <w:tblLook w:val="01E0" w:firstRow="1" w:lastRow="1" w:firstColumn="1" w:lastColumn="1" w:noHBand="0" w:noVBand="0"/>
    </w:tblPr>
    <w:tblGrid>
      <w:gridCol w:w="4038"/>
      <w:gridCol w:w="2460"/>
      <w:gridCol w:w="3192"/>
    </w:tblGrid>
    <w:tr w:rsidR="00D533E4" w14:paraId="521EF378" w14:textId="77777777" w:rsidTr="00A94049">
      <w:tc>
        <w:tcPr>
          <w:tcW w:w="4038" w:type="dxa"/>
          <w:shd w:val="clear" w:color="auto" w:fill="auto"/>
          <w:vAlign w:val="bottom"/>
        </w:tcPr>
        <w:p w14:paraId="1FBC77BC" w14:textId="77777777" w:rsidR="00D533E4" w:rsidRPr="00750C47" w:rsidRDefault="00D533E4" w:rsidP="004A7ACA">
          <w:pPr>
            <w:pStyle w:val="Footer"/>
            <w:rPr>
              <w:b/>
            </w:rPr>
          </w:pPr>
          <w:r w:rsidRPr="00750C47">
            <w:rPr>
              <w:b/>
            </w:rPr>
            <w:t>Modifications to Multifamily Loan and Security Agreement (Tax Credit Properties</w:t>
          </w:r>
          <w:r w:rsidR="00A94049">
            <w:rPr>
              <w:b/>
            </w:rPr>
            <w:t xml:space="preserve"> </w:t>
          </w:r>
          <w:r w:rsidR="004A7ACA">
            <w:rPr>
              <w:b/>
            </w:rPr>
            <w:t xml:space="preserve">- </w:t>
          </w:r>
          <w:r w:rsidR="00A94049">
            <w:rPr>
              <w:b/>
            </w:rPr>
            <w:t>No Equity Investor)</w:t>
          </w:r>
        </w:p>
      </w:tc>
      <w:tc>
        <w:tcPr>
          <w:tcW w:w="2460" w:type="dxa"/>
          <w:shd w:val="clear" w:color="auto" w:fill="auto"/>
          <w:vAlign w:val="bottom"/>
        </w:tcPr>
        <w:p w14:paraId="1C4A2E8E" w14:textId="77777777" w:rsidR="00D533E4" w:rsidRPr="00750C47" w:rsidRDefault="00A94049" w:rsidP="007333EB">
          <w:pPr>
            <w:pStyle w:val="Footer"/>
            <w:jc w:val="center"/>
            <w:rPr>
              <w:b/>
            </w:rPr>
          </w:pPr>
          <w:r>
            <w:rPr>
              <w:b/>
            </w:rPr>
            <w:t>Form 62</w:t>
          </w:r>
          <w:r w:rsidR="00965904">
            <w:rPr>
              <w:b/>
            </w:rPr>
            <w:t>19.</w:t>
          </w:r>
          <w:r w:rsidR="007333EB">
            <w:rPr>
              <w:b/>
            </w:rPr>
            <w:t>ALT</w:t>
          </w:r>
        </w:p>
      </w:tc>
      <w:tc>
        <w:tcPr>
          <w:tcW w:w="3192" w:type="dxa"/>
          <w:shd w:val="clear" w:color="auto" w:fill="auto"/>
          <w:vAlign w:val="bottom"/>
        </w:tcPr>
        <w:p w14:paraId="64E8CD75" w14:textId="77777777" w:rsidR="00D533E4" w:rsidRPr="00750C47" w:rsidRDefault="00D533E4" w:rsidP="00750C47">
          <w:pPr>
            <w:pStyle w:val="Footer"/>
            <w:jc w:val="right"/>
            <w:rPr>
              <w:b/>
            </w:rPr>
          </w:pPr>
          <w:r w:rsidRPr="00750C47">
            <w:rPr>
              <w:b/>
            </w:rPr>
            <w:t xml:space="preserve">Page </w:t>
          </w:r>
          <w:r w:rsidR="00DD2842" w:rsidRPr="00750C47">
            <w:rPr>
              <w:rStyle w:val="PageNumber"/>
              <w:b/>
            </w:rPr>
            <w:fldChar w:fldCharType="begin"/>
          </w:r>
          <w:r w:rsidRPr="00750C47">
            <w:rPr>
              <w:rStyle w:val="PageNumber"/>
              <w:b/>
            </w:rPr>
            <w:instrText xml:space="preserve"> PAGE </w:instrText>
          </w:r>
          <w:r w:rsidR="00DD2842" w:rsidRPr="00750C47">
            <w:rPr>
              <w:rStyle w:val="PageNumber"/>
              <w:b/>
            </w:rPr>
            <w:fldChar w:fldCharType="separate"/>
          </w:r>
          <w:r w:rsidR="007333EB">
            <w:rPr>
              <w:rStyle w:val="PageNumber"/>
              <w:b/>
              <w:noProof/>
            </w:rPr>
            <w:t>1</w:t>
          </w:r>
          <w:r w:rsidR="00DD2842" w:rsidRPr="00750C47">
            <w:rPr>
              <w:rStyle w:val="PageNumber"/>
              <w:b/>
            </w:rPr>
            <w:fldChar w:fldCharType="end"/>
          </w:r>
        </w:p>
      </w:tc>
    </w:tr>
    <w:tr w:rsidR="003B1973" w14:paraId="4314AE5C" w14:textId="77777777" w:rsidTr="00A94049">
      <w:tc>
        <w:tcPr>
          <w:tcW w:w="4038" w:type="dxa"/>
          <w:shd w:val="clear" w:color="auto" w:fill="auto"/>
          <w:vAlign w:val="bottom"/>
        </w:tcPr>
        <w:p w14:paraId="086F2700" w14:textId="77777777" w:rsidR="003B1973" w:rsidRPr="00750C47" w:rsidRDefault="003B1973" w:rsidP="003B1973">
          <w:pPr>
            <w:pStyle w:val="Footer"/>
            <w:rPr>
              <w:b/>
            </w:rPr>
          </w:pPr>
          <w:r w:rsidRPr="00750C47">
            <w:rPr>
              <w:b/>
            </w:rPr>
            <w:t>Fannie Mae</w:t>
          </w:r>
        </w:p>
      </w:tc>
      <w:tc>
        <w:tcPr>
          <w:tcW w:w="2460" w:type="dxa"/>
          <w:shd w:val="clear" w:color="auto" w:fill="auto"/>
          <w:vAlign w:val="bottom"/>
        </w:tcPr>
        <w:p w14:paraId="2B37EDC3" w14:textId="06F6CCCE" w:rsidR="003B1973" w:rsidRPr="00750C47" w:rsidRDefault="006F19E3" w:rsidP="003B1973">
          <w:pPr>
            <w:pStyle w:val="Footer"/>
            <w:jc w:val="center"/>
            <w:rPr>
              <w:b/>
            </w:rPr>
          </w:pPr>
          <w:r>
            <w:rPr>
              <w:b/>
            </w:rPr>
            <w:t>06</w:t>
          </w:r>
          <w:r w:rsidR="003B1973">
            <w:rPr>
              <w:b/>
            </w:rPr>
            <w:t>-26</w:t>
          </w:r>
        </w:p>
      </w:tc>
      <w:tc>
        <w:tcPr>
          <w:tcW w:w="3192" w:type="dxa"/>
          <w:shd w:val="clear" w:color="auto" w:fill="auto"/>
          <w:vAlign w:val="bottom"/>
        </w:tcPr>
        <w:p w14:paraId="1BA9259D" w14:textId="010AD588" w:rsidR="003B1973" w:rsidRPr="00750C47" w:rsidRDefault="003B1973" w:rsidP="003B1973">
          <w:pPr>
            <w:pStyle w:val="Footer"/>
            <w:jc w:val="right"/>
            <w:rPr>
              <w:b/>
            </w:rPr>
          </w:pPr>
          <w:r w:rsidRPr="00750C47">
            <w:rPr>
              <w:b/>
            </w:rPr>
            <w:t>© 20</w:t>
          </w:r>
          <w:r>
            <w:rPr>
              <w:b/>
            </w:rPr>
            <w:t>26</w:t>
          </w:r>
          <w:r w:rsidRPr="00750C47">
            <w:rPr>
              <w:b/>
            </w:rPr>
            <w:t xml:space="preserve"> Fannie Mae</w:t>
          </w:r>
        </w:p>
      </w:tc>
    </w:tr>
  </w:tbl>
  <w:p w14:paraId="0B71CD5A" w14:textId="77777777" w:rsidR="00D533E4" w:rsidRPr="002B01DF" w:rsidRDefault="00D533E4" w:rsidP="002B0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9288" w14:textId="77777777" w:rsidR="00DF3CC6" w:rsidRDefault="00DF3CC6">
      <w:r>
        <w:rPr>
          <w:sz w:val="24"/>
        </w:rPr>
        <w:separator/>
      </w:r>
    </w:p>
  </w:footnote>
  <w:footnote w:type="continuationSeparator" w:id="0">
    <w:p w14:paraId="385F482E" w14:textId="77777777" w:rsidR="00DF3CC6" w:rsidRDefault="00DF3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2B64"/>
    <w:multiLevelType w:val="hybridMultilevel"/>
    <w:tmpl w:val="B1EC61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374307269">
    <w:abstractNumId w:val="1"/>
  </w:num>
  <w:num w:numId="2" w16cid:durableId="1665401036">
    <w:abstractNumId w:val="0"/>
  </w:num>
  <w:num w:numId="3" w16cid:durableId="1126922498">
    <w:abstractNumId w:val="1"/>
    <w:lvlOverride w:ilvl="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color w:val="0000FF"/>
          <w:sz w:val="24"/>
          <w:u w:val="doubl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A1D"/>
    <w:rsid w:val="00004F6C"/>
    <w:rsid w:val="00017C3C"/>
    <w:rsid w:val="00043035"/>
    <w:rsid w:val="00047547"/>
    <w:rsid w:val="000535F0"/>
    <w:rsid w:val="00063644"/>
    <w:rsid w:val="000641BB"/>
    <w:rsid w:val="00065318"/>
    <w:rsid w:val="00072EE3"/>
    <w:rsid w:val="000734AD"/>
    <w:rsid w:val="00074258"/>
    <w:rsid w:val="00074E86"/>
    <w:rsid w:val="0007687A"/>
    <w:rsid w:val="00080A84"/>
    <w:rsid w:val="000831AC"/>
    <w:rsid w:val="00087279"/>
    <w:rsid w:val="00093265"/>
    <w:rsid w:val="00093EE6"/>
    <w:rsid w:val="00095982"/>
    <w:rsid w:val="000A05F6"/>
    <w:rsid w:val="000A21E8"/>
    <w:rsid w:val="000B421B"/>
    <w:rsid w:val="000B521B"/>
    <w:rsid w:val="000C0BC9"/>
    <w:rsid w:val="000C0CFB"/>
    <w:rsid w:val="000C7E3E"/>
    <w:rsid w:val="000E3BA1"/>
    <w:rsid w:val="000E4E18"/>
    <w:rsid w:val="000E69C3"/>
    <w:rsid w:val="000E6CC4"/>
    <w:rsid w:val="001004C4"/>
    <w:rsid w:val="0010500D"/>
    <w:rsid w:val="001175CA"/>
    <w:rsid w:val="00164F80"/>
    <w:rsid w:val="001658F9"/>
    <w:rsid w:val="0016728A"/>
    <w:rsid w:val="001755B5"/>
    <w:rsid w:val="00183EE5"/>
    <w:rsid w:val="00186461"/>
    <w:rsid w:val="0018658F"/>
    <w:rsid w:val="00196DC5"/>
    <w:rsid w:val="001A37EB"/>
    <w:rsid w:val="001A7112"/>
    <w:rsid w:val="001B7210"/>
    <w:rsid w:val="001C2D5B"/>
    <w:rsid w:val="001C383D"/>
    <w:rsid w:val="001D0FA8"/>
    <w:rsid w:val="001D5114"/>
    <w:rsid w:val="001E0AEC"/>
    <w:rsid w:val="001E1DB5"/>
    <w:rsid w:val="001F4A47"/>
    <w:rsid w:val="001F7B96"/>
    <w:rsid w:val="00207E55"/>
    <w:rsid w:val="0021480F"/>
    <w:rsid w:val="00226D9E"/>
    <w:rsid w:val="002313A3"/>
    <w:rsid w:val="002326D6"/>
    <w:rsid w:val="00241811"/>
    <w:rsid w:val="00243B96"/>
    <w:rsid w:val="002501B8"/>
    <w:rsid w:val="002544C5"/>
    <w:rsid w:val="002650C3"/>
    <w:rsid w:val="00267B8A"/>
    <w:rsid w:val="00280E20"/>
    <w:rsid w:val="00285A66"/>
    <w:rsid w:val="00287B1A"/>
    <w:rsid w:val="00294B49"/>
    <w:rsid w:val="002A13E0"/>
    <w:rsid w:val="002A2687"/>
    <w:rsid w:val="002B01DF"/>
    <w:rsid w:val="002B1CB0"/>
    <w:rsid w:val="002B505C"/>
    <w:rsid w:val="002C306C"/>
    <w:rsid w:val="002C30C1"/>
    <w:rsid w:val="002E0F2E"/>
    <w:rsid w:val="002E7250"/>
    <w:rsid w:val="003060A7"/>
    <w:rsid w:val="003144EC"/>
    <w:rsid w:val="00326D36"/>
    <w:rsid w:val="00335549"/>
    <w:rsid w:val="00336902"/>
    <w:rsid w:val="00337102"/>
    <w:rsid w:val="0035097E"/>
    <w:rsid w:val="003606B1"/>
    <w:rsid w:val="00365633"/>
    <w:rsid w:val="00374DD5"/>
    <w:rsid w:val="00384588"/>
    <w:rsid w:val="00386774"/>
    <w:rsid w:val="003903A7"/>
    <w:rsid w:val="003903AF"/>
    <w:rsid w:val="003A4A6D"/>
    <w:rsid w:val="003B1973"/>
    <w:rsid w:val="003B5888"/>
    <w:rsid w:val="003E645E"/>
    <w:rsid w:val="003F362D"/>
    <w:rsid w:val="003F7C2D"/>
    <w:rsid w:val="004005D5"/>
    <w:rsid w:val="00403C24"/>
    <w:rsid w:val="00405D80"/>
    <w:rsid w:val="004153DB"/>
    <w:rsid w:val="00420FD3"/>
    <w:rsid w:val="00422E0A"/>
    <w:rsid w:val="004519F6"/>
    <w:rsid w:val="00453C76"/>
    <w:rsid w:val="00454F9B"/>
    <w:rsid w:val="00461FDC"/>
    <w:rsid w:val="00463CD9"/>
    <w:rsid w:val="00473651"/>
    <w:rsid w:val="00473959"/>
    <w:rsid w:val="00477C7F"/>
    <w:rsid w:val="00494F7D"/>
    <w:rsid w:val="004A42FD"/>
    <w:rsid w:val="004A70CF"/>
    <w:rsid w:val="004A7ACA"/>
    <w:rsid w:val="004C3FDA"/>
    <w:rsid w:val="004D1522"/>
    <w:rsid w:val="004D2E15"/>
    <w:rsid w:val="004D37B9"/>
    <w:rsid w:val="004D4164"/>
    <w:rsid w:val="004E0ECC"/>
    <w:rsid w:val="004E466F"/>
    <w:rsid w:val="004F7854"/>
    <w:rsid w:val="005104F9"/>
    <w:rsid w:val="005136CC"/>
    <w:rsid w:val="00514862"/>
    <w:rsid w:val="00524DC9"/>
    <w:rsid w:val="0052661D"/>
    <w:rsid w:val="005320BF"/>
    <w:rsid w:val="00540AC0"/>
    <w:rsid w:val="00556F42"/>
    <w:rsid w:val="00562472"/>
    <w:rsid w:val="005626A4"/>
    <w:rsid w:val="00570ACD"/>
    <w:rsid w:val="00580351"/>
    <w:rsid w:val="005974BE"/>
    <w:rsid w:val="005A71EC"/>
    <w:rsid w:val="005B43E7"/>
    <w:rsid w:val="005B4ABA"/>
    <w:rsid w:val="005C0631"/>
    <w:rsid w:val="005D077A"/>
    <w:rsid w:val="005D4B5F"/>
    <w:rsid w:val="005E301A"/>
    <w:rsid w:val="005E3346"/>
    <w:rsid w:val="005E7848"/>
    <w:rsid w:val="00602D94"/>
    <w:rsid w:val="00603232"/>
    <w:rsid w:val="00607F17"/>
    <w:rsid w:val="006154AA"/>
    <w:rsid w:val="00632834"/>
    <w:rsid w:val="006340B5"/>
    <w:rsid w:val="00636D9C"/>
    <w:rsid w:val="00652D9D"/>
    <w:rsid w:val="006537F5"/>
    <w:rsid w:val="0067196B"/>
    <w:rsid w:val="0067340B"/>
    <w:rsid w:val="006749F5"/>
    <w:rsid w:val="00674FE3"/>
    <w:rsid w:val="00682F01"/>
    <w:rsid w:val="006912FD"/>
    <w:rsid w:val="006C01E3"/>
    <w:rsid w:val="006C0CF3"/>
    <w:rsid w:val="006C7411"/>
    <w:rsid w:val="006D1C89"/>
    <w:rsid w:val="006D48B2"/>
    <w:rsid w:val="006D7C97"/>
    <w:rsid w:val="006E2C7A"/>
    <w:rsid w:val="006E7C7A"/>
    <w:rsid w:val="006F19E3"/>
    <w:rsid w:val="006F260C"/>
    <w:rsid w:val="006F2FA0"/>
    <w:rsid w:val="00700B84"/>
    <w:rsid w:val="00701459"/>
    <w:rsid w:val="00705EDF"/>
    <w:rsid w:val="00710A90"/>
    <w:rsid w:val="00712EA2"/>
    <w:rsid w:val="007158C0"/>
    <w:rsid w:val="00722B31"/>
    <w:rsid w:val="007307DD"/>
    <w:rsid w:val="007315A8"/>
    <w:rsid w:val="007333EB"/>
    <w:rsid w:val="00735B7C"/>
    <w:rsid w:val="00737A1D"/>
    <w:rsid w:val="0074406E"/>
    <w:rsid w:val="00750166"/>
    <w:rsid w:val="007509CC"/>
    <w:rsid w:val="00750C47"/>
    <w:rsid w:val="00755479"/>
    <w:rsid w:val="00756684"/>
    <w:rsid w:val="00763D5C"/>
    <w:rsid w:val="007661B6"/>
    <w:rsid w:val="00772CDF"/>
    <w:rsid w:val="0077345E"/>
    <w:rsid w:val="007834AB"/>
    <w:rsid w:val="00785A93"/>
    <w:rsid w:val="007A2281"/>
    <w:rsid w:val="007A5280"/>
    <w:rsid w:val="007B5C84"/>
    <w:rsid w:val="007D73DB"/>
    <w:rsid w:val="007E3407"/>
    <w:rsid w:val="007E425F"/>
    <w:rsid w:val="007F09C6"/>
    <w:rsid w:val="007F1E7F"/>
    <w:rsid w:val="007F4D31"/>
    <w:rsid w:val="007F5675"/>
    <w:rsid w:val="00806D04"/>
    <w:rsid w:val="00810A6F"/>
    <w:rsid w:val="00815884"/>
    <w:rsid w:val="00821A8B"/>
    <w:rsid w:val="008253F1"/>
    <w:rsid w:val="0084192D"/>
    <w:rsid w:val="00854B38"/>
    <w:rsid w:val="00863FD4"/>
    <w:rsid w:val="008727F8"/>
    <w:rsid w:val="0087421D"/>
    <w:rsid w:val="008757BF"/>
    <w:rsid w:val="00881048"/>
    <w:rsid w:val="0088139C"/>
    <w:rsid w:val="00885133"/>
    <w:rsid w:val="00885DF0"/>
    <w:rsid w:val="00887CC8"/>
    <w:rsid w:val="00895E42"/>
    <w:rsid w:val="008973B2"/>
    <w:rsid w:val="008A7657"/>
    <w:rsid w:val="008B4F26"/>
    <w:rsid w:val="008D3002"/>
    <w:rsid w:val="008D4C95"/>
    <w:rsid w:val="008E1AFE"/>
    <w:rsid w:val="008E5EBA"/>
    <w:rsid w:val="008E72FB"/>
    <w:rsid w:val="008F2D45"/>
    <w:rsid w:val="009033FA"/>
    <w:rsid w:val="0090412F"/>
    <w:rsid w:val="00905265"/>
    <w:rsid w:val="00912C13"/>
    <w:rsid w:val="00914C97"/>
    <w:rsid w:val="009237D2"/>
    <w:rsid w:val="009258EE"/>
    <w:rsid w:val="00925D61"/>
    <w:rsid w:val="00926672"/>
    <w:rsid w:val="00932340"/>
    <w:rsid w:val="00937514"/>
    <w:rsid w:val="0094171A"/>
    <w:rsid w:val="0094222F"/>
    <w:rsid w:val="0094252E"/>
    <w:rsid w:val="009479CC"/>
    <w:rsid w:val="009558C2"/>
    <w:rsid w:val="00960A98"/>
    <w:rsid w:val="00965904"/>
    <w:rsid w:val="00967E15"/>
    <w:rsid w:val="00971772"/>
    <w:rsid w:val="00981ABF"/>
    <w:rsid w:val="00982468"/>
    <w:rsid w:val="009864F9"/>
    <w:rsid w:val="00994CC6"/>
    <w:rsid w:val="009B4098"/>
    <w:rsid w:val="009B522E"/>
    <w:rsid w:val="009C2F3C"/>
    <w:rsid w:val="009C32AF"/>
    <w:rsid w:val="009D446F"/>
    <w:rsid w:val="009D53F5"/>
    <w:rsid w:val="009E11C7"/>
    <w:rsid w:val="009F4BBC"/>
    <w:rsid w:val="00A063AA"/>
    <w:rsid w:val="00A063BD"/>
    <w:rsid w:val="00A07282"/>
    <w:rsid w:val="00A12735"/>
    <w:rsid w:val="00A13590"/>
    <w:rsid w:val="00A17684"/>
    <w:rsid w:val="00A20AE2"/>
    <w:rsid w:val="00A22ACB"/>
    <w:rsid w:val="00A30CC2"/>
    <w:rsid w:val="00A416B5"/>
    <w:rsid w:val="00A50BE7"/>
    <w:rsid w:val="00A544DF"/>
    <w:rsid w:val="00A60E5D"/>
    <w:rsid w:val="00A6254E"/>
    <w:rsid w:val="00A6421B"/>
    <w:rsid w:val="00A8193B"/>
    <w:rsid w:val="00A859CB"/>
    <w:rsid w:val="00A917CE"/>
    <w:rsid w:val="00A94049"/>
    <w:rsid w:val="00AA2237"/>
    <w:rsid w:val="00AB3397"/>
    <w:rsid w:val="00AB4A15"/>
    <w:rsid w:val="00AC7CCE"/>
    <w:rsid w:val="00AD6649"/>
    <w:rsid w:val="00AE09EC"/>
    <w:rsid w:val="00AE34CE"/>
    <w:rsid w:val="00AE4E7F"/>
    <w:rsid w:val="00B05CC9"/>
    <w:rsid w:val="00B06085"/>
    <w:rsid w:val="00B06974"/>
    <w:rsid w:val="00B07282"/>
    <w:rsid w:val="00B10320"/>
    <w:rsid w:val="00B111AF"/>
    <w:rsid w:val="00B12C99"/>
    <w:rsid w:val="00B23074"/>
    <w:rsid w:val="00B2471C"/>
    <w:rsid w:val="00B25397"/>
    <w:rsid w:val="00B4695A"/>
    <w:rsid w:val="00B559C7"/>
    <w:rsid w:val="00B6375C"/>
    <w:rsid w:val="00B656E3"/>
    <w:rsid w:val="00B722EF"/>
    <w:rsid w:val="00B72D9D"/>
    <w:rsid w:val="00B72E8F"/>
    <w:rsid w:val="00B76BA0"/>
    <w:rsid w:val="00B95A4F"/>
    <w:rsid w:val="00B97EF6"/>
    <w:rsid w:val="00BB2583"/>
    <w:rsid w:val="00BB2A56"/>
    <w:rsid w:val="00BC3F92"/>
    <w:rsid w:val="00BC4E19"/>
    <w:rsid w:val="00BD130C"/>
    <w:rsid w:val="00BD5A09"/>
    <w:rsid w:val="00BE005D"/>
    <w:rsid w:val="00BE6914"/>
    <w:rsid w:val="00BF252F"/>
    <w:rsid w:val="00BF38B4"/>
    <w:rsid w:val="00BF4F3A"/>
    <w:rsid w:val="00BF5EBA"/>
    <w:rsid w:val="00C004E8"/>
    <w:rsid w:val="00C0099D"/>
    <w:rsid w:val="00C14632"/>
    <w:rsid w:val="00C2617C"/>
    <w:rsid w:val="00C269BF"/>
    <w:rsid w:val="00C3265D"/>
    <w:rsid w:val="00C32CF3"/>
    <w:rsid w:val="00C36623"/>
    <w:rsid w:val="00C41208"/>
    <w:rsid w:val="00C46AF7"/>
    <w:rsid w:val="00C50AB3"/>
    <w:rsid w:val="00C54481"/>
    <w:rsid w:val="00C56E26"/>
    <w:rsid w:val="00C60609"/>
    <w:rsid w:val="00C66FC6"/>
    <w:rsid w:val="00C67001"/>
    <w:rsid w:val="00C72F00"/>
    <w:rsid w:val="00C81C2C"/>
    <w:rsid w:val="00C9239E"/>
    <w:rsid w:val="00C9317E"/>
    <w:rsid w:val="00CA2748"/>
    <w:rsid w:val="00CA6F4A"/>
    <w:rsid w:val="00CB1579"/>
    <w:rsid w:val="00CB4170"/>
    <w:rsid w:val="00CB6429"/>
    <w:rsid w:val="00CC3290"/>
    <w:rsid w:val="00CC43C2"/>
    <w:rsid w:val="00CC5E54"/>
    <w:rsid w:val="00CD1C75"/>
    <w:rsid w:val="00CD43C7"/>
    <w:rsid w:val="00CD5278"/>
    <w:rsid w:val="00CE44BC"/>
    <w:rsid w:val="00CE44CE"/>
    <w:rsid w:val="00CE7781"/>
    <w:rsid w:val="00CF75CB"/>
    <w:rsid w:val="00D0746E"/>
    <w:rsid w:val="00D16C38"/>
    <w:rsid w:val="00D17562"/>
    <w:rsid w:val="00D21A5B"/>
    <w:rsid w:val="00D309B6"/>
    <w:rsid w:val="00D33448"/>
    <w:rsid w:val="00D35CA6"/>
    <w:rsid w:val="00D40C49"/>
    <w:rsid w:val="00D45A48"/>
    <w:rsid w:val="00D47473"/>
    <w:rsid w:val="00D526F7"/>
    <w:rsid w:val="00D533E4"/>
    <w:rsid w:val="00D6264A"/>
    <w:rsid w:val="00D70821"/>
    <w:rsid w:val="00D7168C"/>
    <w:rsid w:val="00D7253A"/>
    <w:rsid w:val="00D72F5D"/>
    <w:rsid w:val="00D77589"/>
    <w:rsid w:val="00D81661"/>
    <w:rsid w:val="00D94526"/>
    <w:rsid w:val="00D94B1E"/>
    <w:rsid w:val="00DA00A9"/>
    <w:rsid w:val="00DA13CF"/>
    <w:rsid w:val="00DA686C"/>
    <w:rsid w:val="00DC7181"/>
    <w:rsid w:val="00DD2842"/>
    <w:rsid w:val="00DD462B"/>
    <w:rsid w:val="00DF3CC6"/>
    <w:rsid w:val="00E02C2F"/>
    <w:rsid w:val="00E10092"/>
    <w:rsid w:val="00E10BD5"/>
    <w:rsid w:val="00E11975"/>
    <w:rsid w:val="00E25537"/>
    <w:rsid w:val="00E31E51"/>
    <w:rsid w:val="00E37566"/>
    <w:rsid w:val="00E41CFA"/>
    <w:rsid w:val="00E42555"/>
    <w:rsid w:val="00E47348"/>
    <w:rsid w:val="00E47635"/>
    <w:rsid w:val="00E55C5F"/>
    <w:rsid w:val="00E56319"/>
    <w:rsid w:val="00E750F5"/>
    <w:rsid w:val="00E75F9B"/>
    <w:rsid w:val="00E85CA2"/>
    <w:rsid w:val="00E904FA"/>
    <w:rsid w:val="00E925E8"/>
    <w:rsid w:val="00EA6A6C"/>
    <w:rsid w:val="00EB096F"/>
    <w:rsid w:val="00EB46EA"/>
    <w:rsid w:val="00EC5847"/>
    <w:rsid w:val="00ED1D8D"/>
    <w:rsid w:val="00ED5675"/>
    <w:rsid w:val="00ED7B49"/>
    <w:rsid w:val="00EE3962"/>
    <w:rsid w:val="00EE3F74"/>
    <w:rsid w:val="00EF0804"/>
    <w:rsid w:val="00F12FD9"/>
    <w:rsid w:val="00F340F6"/>
    <w:rsid w:val="00F34390"/>
    <w:rsid w:val="00F35E94"/>
    <w:rsid w:val="00F368DD"/>
    <w:rsid w:val="00F4204B"/>
    <w:rsid w:val="00F4474E"/>
    <w:rsid w:val="00F53D87"/>
    <w:rsid w:val="00F54AB6"/>
    <w:rsid w:val="00F55A2F"/>
    <w:rsid w:val="00F777DE"/>
    <w:rsid w:val="00F823CF"/>
    <w:rsid w:val="00F84F9E"/>
    <w:rsid w:val="00F852B3"/>
    <w:rsid w:val="00F94E9F"/>
    <w:rsid w:val="00FA3B1D"/>
    <w:rsid w:val="00FA7051"/>
    <w:rsid w:val="00FB5BA6"/>
    <w:rsid w:val="00FB5D1E"/>
    <w:rsid w:val="00FC7C3A"/>
    <w:rsid w:val="00FE33EA"/>
    <w:rsid w:val="00FE7112"/>
    <w:rsid w:val="00FF3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ADFBA"/>
  <w15:docId w15:val="{BED6876E-D11F-4674-865D-662184AA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481"/>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535F0"/>
    <w:rPr>
      <w:sz w:val="24"/>
    </w:rPr>
  </w:style>
  <w:style w:type="character" w:styleId="EndnoteReference">
    <w:name w:val="endnote reference"/>
    <w:semiHidden/>
    <w:rsid w:val="000535F0"/>
    <w:rPr>
      <w:vertAlign w:val="superscript"/>
    </w:rPr>
  </w:style>
  <w:style w:type="paragraph" w:styleId="FootnoteText">
    <w:name w:val="footnote text"/>
    <w:basedOn w:val="Normal"/>
    <w:semiHidden/>
    <w:rsid w:val="000535F0"/>
    <w:rPr>
      <w:sz w:val="24"/>
    </w:rPr>
  </w:style>
  <w:style w:type="character" w:styleId="FootnoteReference">
    <w:name w:val="footnote reference"/>
    <w:semiHidden/>
    <w:rsid w:val="000535F0"/>
    <w:rPr>
      <w:vertAlign w:val="superscript"/>
    </w:rPr>
  </w:style>
  <w:style w:type="paragraph" w:styleId="TOC1">
    <w:name w:val="toc 1"/>
    <w:basedOn w:val="Normal"/>
    <w:next w:val="Normal"/>
    <w:semiHidden/>
    <w:rsid w:val="000535F0"/>
    <w:pPr>
      <w:tabs>
        <w:tab w:val="right" w:leader="dot" w:pos="9360"/>
      </w:tabs>
      <w:suppressAutoHyphens/>
      <w:spacing w:before="480"/>
      <w:ind w:left="720" w:right="720" w:hanging="720"/>
    </w:pPr>
  </w:style>
  <w:style w:type="paragraph" w:styleId="TOC2">
    <w:name w:val="toc 2"/>
    <w:basedOn w:val="Normal"/>
    <w:next w:val="Normal"/>
    <w:semiHidden/>
    <w:rsid w:val="000535F0"/>
    <w:pPr>
      <w:tabs>
        <w:tab w:val="right" w:leader="dot" w:pos="9360"/>
      </w:tabs>
      <w:suppressAutoHyphens/>
      <w:ind w:left="1440" w:right="720" w:hanging="720"/>
    </w:pPr>
  </w:style>
  <w:style w:type="paragraph" w:styleId="TOC3">
    <w:name w:val="toc 3"/>
    <w:basedOn w:val="Normal"/>
    <w:next w:val="Normal"/>
    <w:semiHidden/>
    <w:rsid w:val="000535F0"/>
    <w:pPr>
      <w:tabs>
        <w:tab w:val="right" w:leader="dot" w:pos="9360"/>
      </w:tabs>
      <w:suppressAutoHyphens/>
      <w:ind w:left="2160" w:right="720" w:hanging="720"/>
    </w:pPr>
  </w:style>
  <w:style w:type="paragraph" w:styleId="TOC4">
    <w:name w:val="toc 4"/>
    <w:basedOn w:val="Normal"/>
    <w:next w:val="Normal"/>
    <w:semiHidden/>
    <w:rsid w:val="000535F0"/>
    <w:pPr>
      <w:tabs>
        <w:tab w:val="right" w:leader="dot" w:pos="9360"/>
      </w:tabs>
      <w:suppressAutoHyphens/>
      <w:ind w:left="2880" w:right="720" w:hanging="720"/>
    </w:pPr>
  </w:style>
  <w:style w:type="paragraph" w:styleId="TOC5">
    <w:name w:val="toc 5"/>
    <w:basedOn w:val="Normal"/>
    <w:next w:val="Normal"/>
    <w:semiHidden/>
    <w:rsid w:val="000535F0"/>
    <w:pPr>
      <w:tabs>
        <w:tab w:val="right" w:leader="dot" w:pos="9360"/>
      </w:tabs>
      <w:suppressAutoHyphens/>
      <w:ind w:left="3600" w:right="720" w:hanging="720"/>
    </w:pPr>
  </w:style>
  <w:style w:type="paragraph" w:styleId="TOC6">
    <w:name w:val="toc 6"/>
    <w:basedOn w:val="Normal"/>
    <w:next w:val="Normal"/>
    <w:semiHidden/>
    <w:rsid w:val="000535F0"/>
    <w:pPr>
      <w:tabs>
        <w:tab w:val="right" w:pos="9360"/>
      </w:tabs>
      <w:suppressAutoHyphens/>
      <w:ind w:left="720" w:hanging="720"/>
    </w:pPr>
  </w:style>
  <w:style w:type="paragraph" w:styleId="TOC7">
    <w:name w:val="toc 7"/>
    <w:basedOn w:val="Normal"/>
    <w:next w:val="Normal"/>
    <w:semiHidden/>
    <w:rsid w:val="000535F0"/>
    <w:pPr>
      <w:suppressAutoHyphens/>
      <w:ind w:left="720" w:hanging="720"/>
    </w:pPr>
  </w:style>
  <w:style w:type="paragraph" w:styleId="TOC8">
    <w:name w:val="toc 8"/>
    <w:basedOn w:val="Normal"/>
    <w:next w:val="Normal"/>
    <w:semiHidden/>
    <w:rsid w:val="000535F0"/>
    <w:pPr>
      <w:tabs>
        <w:tab w:val="right" w:pos="9360"/>
      </w:tabs>
      <w:suppressAutoHyphens/>
      <w:ind w:left="720" w:hanging="720"/>
    </w:pPr>
  </w:style>
  <w:style w:type="paragraph" w:styleId="TOC9">
    <w:name w:val="toc 9"/>
    <w:basedOn w:val="Normal"/>
    <w:next w:val="Normal"/>
    <w:semiHidden/>
    <w:rsid w:val="000535F0"/>
    <w:pPr>
      <w:tabs>
        <w:tab w:val="right" w:leader="dot" w:pos="9360"/>
      </w:tabs>
      <w:suppressAutoHyphens/>
      <w:ind w:left="720" w:hanging="720"/>
    </w:pPr>
  </w:style>
  <w:style w:type="paragraph" w:styleId="Index1">
    <w:name w:val="index 1"/>
    <w:basedOn w:val="Normal"/>
    <w:next w:val="Normal"/>
    <w:semiHidden/>
    <w:rsid w:val="000535F0"/>
    <w:pPr>
      <w:tabs>
        <w:tab w:val="right" w:leader="dot" w:pos="9360"/>
      </w:tabs>
      <w:suppressAutoHyphens/>
      <w:ind w:left="1440" w:right="720" w:hanging="1440"/>
    </w:pPr>
  </w:style>
  <w:style w:type="paragraph" w:styleId="Index2">
    <w:name w:val="index 2"/>
    <w:basedOn w:val="Normal"/>
    <w:next w:val="Normal"/>
    <w:semiHidden/>
    <w:rsid w:val="000535F0"/>
    <w:pPr>
      <w:tabs>
        <w:tab w:val="right" w:leader="dot" w:pos="9360"/>
      </w:tabs>
      <w:suppressAutoHyphens/>
      <w:ind w:left="1440" w:right="720" w:hanging="720"/>
    </w:pPr>
  </w:style>
  <w:style w:type="paragraph" w:styleId="TOAHeading">
    <w:name w:val="toa heading"/>
    <w:basedOn w:val="Normal"/>
    <w:next w:val="Normal"/>
    <w:semiHidden/>
    <w:rsid w:val="000535F0"/>
    <w:pPr>
      <w:tabs>
        <w:tab w:val="right" w:pos="9360"/>
      </w:tabs>
      <w:suppressAutoHyphens/>
    </w:pPr>
  </w:style>
  <w:style w:type="paragraph" w:styleId="Caption">
    <w:name w:val="caption"/>
    <w:basedOn w:val="Normal"/>
    <w:next w:val="Normal"/>
    <w:qFormat/>
    <w:rsid w:val="000535F0"/>
    <w:rPr>
      <w:sz w:val="24"/>
    </w:rPr>
  </w:style>
  <w:style w:type="character" w:customStyle="1" w:styleId="EquationCaption">
    <w:name w:val="_Equation Caption"/>
    <w:rsid w:val="000535F0"/>
  </w:style>
  <w:style w:type="paragraph" w:styleId="Header">
    <w:name w:val="header"/>
    <w:basedOn w:val="Normal"/>
    <w:link w:val="HeaderChar"/>
    <w:rsid w:val="000535F0"/>
    <w:pPr>
      <w:tabs>
        <w:tab w:val="center" w:pos="4320"/>
        <w:tab w:val="right" w:pos="8640"/>
      </w:tabs>
    </w:pPr>
  </w:style>
  <w:style w:type="paragraph" w:styleId="Footer">
    <w:name w:val="footer"/>
    <w:basedOn w:val="Normal"/>
    <w:link w:val="FooterChar"/>
    <w:rsid w:val="000535F0"/>
    <w:pPr>
      <w:tabs>
        <w:tab w:val="center" w:pos="4320"/>
        <w:tab w:val="right" w:pos="8640"/>
      </w:tabs>
    </w:pPr>
  </w:style>
  <w:style w:type="paragraph" w:styleId="BodyText2">
    <w:name w:val="Body Text 2"/>
    <w:basedOn w:val="Normal"/>
    <w:rsid w:val="000535F0"/>
    <w:pPr>
      <w:widowControl/>
      <w:tabs>
        <w:tab w:val="left" w:pos="0"/>
        <w:tab w:val="left" w:pos="720"/>
        <w:tab w:val="left" w:pos="1440"/>
      </w:tabs>
      <w:suppressAutoHyphens/>
      <w:ind w:left="2160" w:hanging="2160"/>
      <w:jc w:val="both"/>
    </w:pPr>
    <w:rPr>
      <w:spacing w:val="-2"/>
      <w:sz w:val="22"/>
    </w:rPr>
  </w:style>
  <w:style w:type="table" w:styleId="TableGrid">
    <w:name w:val="Table Grid"/>
    <w:basedOn w:val="TableNormal"/>
    <w:rsid w:val="002B0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01DF"/>
  </w:style>
  <w:style w:type="paragraph" w:styleId="BalloonText">
    <w:name w:val="Balloon Text"/>
    <w:basedOn w:val="Normal"/>
    <w:semiHidden/>
    <w:rsid w:val="00B559C7"/>
    <w:rPr>
      <w:rFonts w:ascii="Tahoma" w:hAnsi="Tahoma" w:cs="Tahoma"/>
      <w:sz w:val="16"/>
      <w:szCs w:val="16"/>
    </w:rPr>
  </w:style>
  <w:style w:type="character" w:customStyle="1" w:styleId="FooterChar">
    <w:name w:val="Footer Char"/>
    <w:basedOn w:val="DefaultParagraphFont"/>
    <w:link w:val="Footer"/>
    <w:rsid w:val="00A94049"/>
  </w:style>
  <w:style w:type="character" w:customStyle="1" w:styleId="DeltaViewDeletion">
    <w:name w:val="DeltaView Deletion"/>
    <w:uiPriority w:val="99"/>
    <w:rsid w:val="009033FA"/>
    <w:rPr>
      <w:strike/>
      <w:color w:val="FF0000"/>
    </w:rPr>
  </w:style>
  <w:style w:type="paragraph" w:styleId="Revision">
    <w:name w:val="Revision"/>
    <w:hidden/>
    <w:uiPriority w:val="99"/>
    <w:semiHidden/>
    <w:rsid w:val="006C01E3"/>
  </w:style>
  <w:style w:type="character" w:customStyle="1" w:styleId="HeaderChar">
    <w:name w:val="Header Char"/>
    <w:basedOn w:val="DefaultParagraphFont"/>
    <w:link w:val="Header"/>
    <w:rsid w:val="006C01E3"/>
  </w:style>
  <w:style w:type="character" w:styleId="CommentReference">
    <w:name w:val="annotation reference"/>
    <w:basedOn w:val="DefaultParagraphFont"/>
    <w:unhideWhenUsed/>
    <w:rsid w:val="006C01E3"/>
    <w:rPr>
      <w:sz w:val="16"/>
      <w:szCs w:val="16"/>
    </w:rPr>
  </w:style>
  <w:style w:type="paragraph" w:styleId="CommentText">
    <w:name w:val="annotation text"/>
    <w:basedOn w:val="Normal"/>
    <w:link w:val="CommentTextChar"/>
    <w:unhideWhenUsed/>
    <w:rsid w:val="006C01E3"/>
  </w:style>
  <w:style w:type="character" w:customStyle="1" w:styleId="CommentTextChar">
    <w:name w:val="Comment Text Char"/>
    <w:basedOn w:val="DefaultParagraphFont"/>
    <w:link w:val="CommentText"/>
    <w:rsid w:val="006C01E3"/>
  </w:style>
  <w:style w:type="paragraph" w:styleId="CommentSubject">
    <w:name w:val="annotation subject"/>
    <w:basedOn w:val="CommentText"/>
    <w:next w:val="CommentText"/>
    <w:link w:val="CommentSubjectChar"/>
    <w:semiHidden/>
    <w:unhideWhenUsed/>
    <w:rsid w:val="006C01E3"/>
    <w:rPr>
      <w:b/>
      <w:bCs/>
    </w:rPr>
  </w:style>
  <w:style w:type="character" w:customStyle="1" w:styleId="CommentSubjectChar">
    <w:name w:val="Comment Subject Char"/>
    <w:basedOn w:val="CommentTextChar"/>
    <w:link w:val="CommentSubject"/>
    <w:semiHidden/>
    <w:rsid w:val="006C01E3"/>
    <w:rPr>
      <w:b/>
      <w:bCs/>
    </w:rPr>
  </w:style>
  <w:style w:type="paragraph" w:styleId="ListParagraph">
    <w:name w:val="List Paragraph"/>
    <w:basedOn w:val="Normal"/>
    <w:uiPriority w:val="34"/>
    <w:qFormat/>
    <w:rsid w:val="00C60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2943">
      <w:bodyDiv w:val="1"/>
      <w:marLeft w:val="0"/>
      <w:marRight w:val="0"/>
      <w:marTop w:val="0"/>
      <w:marBottom w:val="0"/>
      <w:divBdr>
        <w:top w:val="none" w:sz="0" w:space="0" w:color="auto"/>
        <w:left w:val="none" w:sz="0" w:space="0" w:color="auto"/>
        <w:bottom w:val="none" w:sz="0" w:space="0" w:color="auto"/>
        <w:right w:val="none" w:sz="0" w:space="0" w:color="auto"/>
      </w:divBdr>
      <w:divsChild>
        <w:div w:id="548107963">
          <w:marLeft w:val="0"/>
          <w:marRight w:val="0"/>
          <w:marTop w:val="0"/>
          <w:marBottom w:val="0"/>
          <w:divBdr>
            <w:top w:val="none" w:sz="0" w:space="0" w:color="auto"/>
            <w:left w:val="none" w:sz="0" w:space="0" w:color="auto"/>
            <w:bottom w:val="none" w:sz="0" w:space="0" w:color="auto"/>
            <w:right w:val="none" w:sz="0" w:space="0" w:color="auto"/>
          </w:divBdr>
        </w:div>
      </w:divsChild>
    </w:div>
    <w:div w:id="143157461">
      <w:bodyDiv w:val="1"/>
      <w:marLeft w:val="0"/>
      <w:marRight w:val="0"/>
      <w:marTop w:val="0"/>
      <w:marBottom w:val="0"/>
      <w:divBdr>
        <w:top w:val="none" w:sz="0" w:space="0" w:color="auto"/>
        <w:left w:val="none" w:sz="0" w:space="0" w:color="auto"/>
        <w:bottom w:val="none" w:sz="0" w:space="0" w:color="auto"/>
        <w:right w:val="none" w:sz="0" w:space="0" w:color="auto"/>
      </w:divBdr>
    </w:div>
    <w:div w:id="220093459">
      <w:bodyDiv w:val="1"/>
      <w:marLeft w:val="0"/>
      <w:marRight w:val="0"/>
      <w:marTop w:val="0"/>
      <w:marBottom w:val="0"/>
      <w:divBdr>
        <w:top w:val="none" w:sz="0" w:space="0" w:color="auto"/>
        <w:left w:val="none" w:sz="0" w:space="0" w:color="auto"/>
        <w:bottom w:val="none" w:sz="0" w:space="0" w:color="auto"/>
        <w:right w:val="none" w:sz="0" w:space="0" w:color="auto"/>
      </w:divBdr>
    </w:div>
    <w:div w:id="322586827">
      <w:bodyDiv w:val="1"/>
      <w:marLeft w:val="0"/>
      <w:marRight w:val="0"/>
      <w:marTop w:val="0"/>
      <w:marBottom w:val="0"/>
      <w:divBdr>
        <w:top w:val="none" w:sz="0" w:space="0" w:color="auto"/>
        <w:left w:val="none" w:sz="0" w:space="0" w:color="auto"/>
        <w:bottom w:val="none" w:sz="0" w:space="0" w:color="auto"/>
        <w:right w:val="none" w:sz="0" w:space="0" w:color="auto"/>
      </w:divBdr>
    </w:div>
    <w:div w:id="589890029">
      <w:bodyDiv w:val="1"/>
      <w:marLeft w:val="0"/>
      <w:marRight w:val="0"/>
      <w:marTop w:val="0"/>
      <w:marBottom w:val="0"/>
      <w:divBdr>
        <w:top w:val="none" w:sz="0" w:space="0" w:color="auto"/>
        <w:left w:val="none" w:sz="0" w:space="0" w:color="auto"/>
        <w:bottom w:val="none" w:sz="0" w:space="0" w:color="auto"/>
        <w:right w:val="none" w:sz="0" w:space="0" w:color="auto"/>
      </w:divBdr>
    </w:div>
    <w:div w:id="936139538">
      <w:bodyDiv w:val="1"/>
      <w:marLeft w:val="0"/>
      <w:marRight w:val="0"/>
      <w:marTop w:val="0"/>
      <w:marBottom w:val="0"/>
      <w:divBdr>
        <w:top w:val="none" w:sz="0" w:space="0" w:color="auto"/>
        <w:left w:val="none" w:sz="0" w:space="0" w:color="auto"/>
        <w:bottom w:val="none" w:sz="0" w:space="0" w:color="auto"/>
        <w:right w:val="none" w:sz="0" w:space="0" w:color="auto"/>
      </w:divBdr>
    </w:div>
    <w:div w:id="987905293">
      <w:bodyDiv w:val="1"/>
      <w:marLeft w:val="0"/>
      <w:marRight w:val="0"/>
      <w:marTop w:val="0"/>
      <w:marBottom w:val="0"/>
      <w:divBdr>
        <w:top w:val="none" w:sz="0" w:space="0" w:color="auto"/>
        <w:left w:val="none" w:sz="0" w:space="0" w:color="auto"/>
        <w:bottom w:val="none" w:sz="0" w:space="0" w:color="auto"/>
        <w:right w:val="none" w:sz="0" w:space="0" w:color="auto"/>
      </w:divBdr>
    </w:div>
    <w:div w:id="1152716765">
      <w:bodyDiv w:val="1"/>
      <w:marLeft w:val="0"/>
      <w:marRight w:val="0"/>
      <w:marTop w:val="0"/>
      <w:marBottom w:val="0"/>
      <w:divBdr>
        <w:top w:val="none" w:sz="0" w:space="0" w:color="auto"/>
        <w:left w:val="none" w:sz="0" w:space="0" w:color="auto"/>
        <w:bottom w:val="none" w:sz="0" w:space="0" w:color="auto"/>
        <w:right w:val="none" w:sz="0" w:space="0" w:color="auto"/>
      </w:divBdr>
    </w:div>
    <w:div w:id="1196383496">
      <w:bodyDiv w:val="1"/>
      <w:marLeft w:val="0"/>
      <w:marRight w:val="0"/>
      <w:marTop w:val="0"/>
      <w:marBottom w:val="0"/>
      <w:divBdr>
        <w:top w:val="none" w:sz="0" w:space="0" w:color="auto"/>
        <w:left w:val="none" w:sz="0" w:space="0" w:color="auto"/>
        <w:bottom w:val="none" w:sz="0" w:space="0" w:color="auto"/>
        <w:right w:val="none" w:sz="0" w:space="0" w:color="auto"/>
      </w:divBdr>
    </w:div>
    <w:div w:id="1291478429">
      <w:bodyDiv w:val="1"/>
      <w:marLeft w:val="0"/>
      <w:marRight w:val="0"/>
      <w:marTop w:val="0"/>
      <w:marBottom w:val="0"/>
      <w:divBdr>
        <w:top w:val="none" w:sz="0" w:space="0" w:color="auto"/>
        <w:left w:val="none" w:sz="0" w:space="0" w:color="auto"/>
        <w:bottom w:val="none" w:sz="0" w:space="0" w:color="auto"/>
        <w:right w:val="none" w:sz="0" w:space="0" w:color="auto"/>
      </w:divBdr>
    </w:div>
    <w:div w:id="1574315968">
      <w:bodyDiv w:val="1"/>
      <w:marLeft w:val="0"/>
      <w:marRight w:val="0"/>
      <w:marTop w:val="0"/>
      <w:marBottom w:val="0"/>
      <w:divBdr>
        <w:top w:val="none" w:sz="0" w:space="0" w:color="auto"/>
        <w:left w:val="none" w:sz="0" w:space="0" w:color="auto"/>
        <w:bottom w:val="none" w:sz="0" w:space="0" w:color="auto"/>
        <w:right w:val="none" w:sz="0" w:space="0" w:color="auto"/>
      </w:divBdr>
      <w:divsChild>
        <w:div w:id="225461926">
          <w:marLeft w:val="0"/>
          <w:marRight w:val="0"/>
          <w:marTop w:val="0"/>
          <w:marBottom w:val="0"/>
          <w:divBdr>
            <w:top w:val="none" w:sz="0" w:space="0" w:color="auto"/>
            <w:left w:val="none" w:sz="0" w:space="0" w:color="auto"/>
            <w:bottom w:val="none" w:sz="0" w:space="0" w:color="auto"/>
            <w:right w:val="none" w:sz="0" w:space="0" w:color="auto"/>
          </w:divBdr>
        </w:div>
      </w:divsChild>
    </w:div>
    <w:div w:id="1581866007">
      <w:bodyDiv w:val="1"/>
      <w:marLeft w:val="0"/>
      <w:marRight w:val="0"/>
      <w:marTop w:val="0"/>
      <w:marBottom w:val="0"/>
      <w:divBdr>
        <w:top w:val="none" w:sz="0" w:space="0" w:color="auto"/>
        <w:left w:val="none" w:sz="0" w:space="0" w:color="auto"/>
        <w:bottom w:val="none" w:sz="0" w:space="0" w:color="auto"/>
        <w:right w:val="none" w:sz="0" w:space="0" w:color="auto"/>
      </w:divBdr>
    </w:div>
    <w:div w:id="1654210809">
      <w:bodyDiv w:val="1"/>
      <w:marLeft w:val="0"/>
      <w:marRight w:val="0"/>
      <w:marTop w:val="0"/>
      <w:marBottom w:val="0"/>
      <w:divBdr>
        <w:top w:val="none" w:sz="0" w:space="0" w:color="auto"/>
        <w:left w:val="none" w:sz="0" w:space="0" w:color="auto"/>
        <w:bottom w:val="none" w:sz="0" w:space="0" w:color="auto"/>
        <w:right w:val="none" w:sz="0" w:space="0" w:color="auto"/>
      </w:divBdr>
    </w:div>
    <w:div w:id="1778402944">
      <w:bodyDiv w:val="1"/>
      <w:marLeft w:val="0"/>
      <w:marRight w:val="0"/>
      <w:marTop w:val="0"/>
      <w:marBottom w:val="0"/>
      <w:divBdr>
        <w:top w:val="none" w:sz="0" w:space="0" w:color="auto"/>
        <w:left w:val="none" w:sz="0" w:space="0" w:color="auto"/>
        <w:bottom w:val="none" w:sz="0" w:space="0" w:color="auto"/>
        <w:right w:val="none" w:sz="0" w:space="0" w:color="auto"/>
      </w:divBdr>
    </w:div>
    <w:div w:id="1788767432">
      <w:bodyDiv w:val="1"/>
      <w:marLeft w:val="0"/>
      <w:marRight w:val="0"/>
      <w:marTop w:val="0"/>
      <w:marBottom w:val="0"/>
      <w:divBdr>
        <w:top w:val="none" w:sz="0" w:space="0" w:color="auto"/>
        <w:left w:val="none" w:sz="0" w:space="0" w:color="auto"/>
        <w:bottom w:val="none" w:sz="0" w:space="0" w:color="auto"/>
        <w:right w:val="none" w:sz="0" w:space="0" w:color="auto"/>
      </w:divBdr>
    </w:div>
    <w:div w:id="1979606116">
      <w:bodyDiv w:val="1"/>
      <w:marLeft w:val="0"/>
      <w:marRight w:val="0"/>
      <w:marTop w:val="0"/>
      <w:marBottom w:val="0"/>
      <w:divBdr>
        <w:top w:val="none" w:sz="0" w:space="0" w:color="auto"/>
        <w:left w:val="none" w:sz="0" w:space="0" w:color="auto"/>
        <w:bottom w:val="none" w:sz="0" w:space="0" w:color="auto"/>
        <w:right w:val="none" w:sz="0" w:space="0" w:color="auto"/>
      </w:divBdr>
    </w:div>
    <w:div w:id="1983004425">
      <w:bodyDiv w:val="1"/>
      <w:marLeft w:val="0"/>
      <w:marRight w:val="0"/>
      <w:marTop w:val="0"/>
      <w:marBottom w:val="0"/>
      <w:divBdr>
        <w:top w:val="none" w:sz="0" w:space="0" w:color="auto"/>
        <w:left w:val="none" w:sz="0" w:space="0" w:color="auto"/>
        <w:bottom w:val="none" w:sz="0" w:space="0" w:color="auto"/>
        <w:right w:val="none" w:sz="0" w:space="0" w:color="auto"/>
      </w:divBdr>
    </w:div>
    <w:div w:id="2117290200">
      <w:bodyDiv w:val="1"/>
      <w:marLeft w:val="0"/>
      <w:marRight w:val="0"/>
      <w:marTop w:val="0"/>
      <w:marBottom w:val="0"/>
      <w:divBdr>
        <w:top w:val="none" w:sz="0" w:space="0" w:color="auto"/>
        <w:left w:val="none" w:sz="0" w:space="0" w:color="auto"/>
        <w:bottom w:val="none" w:sz="0" w:space="0" w:color="auto"/>
        <w:right w:val="none" w:sz="0" w:space="0" w:color="auto"/>
      </w:divBdr>
    </w:div>
    <w:div w:id="21419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2224</Words>
  <Characters>12210</Characters>
  <Application>Microsoft Office Word</Application>
  <DocSecurity>0</DocSecurity>
  <Lines>321</Lines>
  <Paragraphs>119</Paragraphs>
  <ScaleCrop>false</ScaleCrop>
  <HeadingPairs>
    <vt:vector size="2" baseType="variant">
      <vt:variant>
        <vt:lpstr>Title</vt:lpstr>
      </vt:variant>
      <vt:variant>
        <vt:i4>1</vt:i4>
      </vt:variant>
    </vt:vector>
  </HeadingPairs>
  <TitlesOfParts>
    <vt:vector size="1" baseType="lpstr">
      <vt:lpstr>6219.ALT</vt:lpstr>
    </vt:vector>
  </TitlesOfParts>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6219.ALT</dc:title>
  <dc:subject>Modifications to Multifamily Loan and Security Agreement (Tax Credit Properties - No Equity Investor)</dc:subject>
  <dc:creator>Fannie Mae</dc:creator>
  <cp:keywords/>
  <cp:lastModifiedBy>Sue Riggs</cp:lastModifiedBy>
  <cp:revision>3</cp:revision>
  <dcterms:created xsi:type="dcterms:W3CDTF">2026-06-17T17:30:00Z</dcterms:created>
  <dcterms:modified xsi:type="dcterms:W3CDTF">2026-06-17T17:30:00Z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a802ddd3-7348-4642-8a27-616bf42822af</vt:lpwstr>
  </property>
</Properties>
</file>