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327" w:rsidRPr="00F14631" w:rsidRDefault="00451327" w:rsidP="007D39AB">
      <w:pPr>
        <w:widowControl/>
        <w:jc w:val="center"/>
        <w:rPr>
          <w:b/>
          <w:szCs w:val="24"/>
        </w:rPr>
      </w:pPr>
      <w:r w:rsidRPr="00F14631">
        <w:rPr>
          <w:b/>
          <w:szCs w:val="24"/>
        </w:rPr>
        <w:t>SCHEDULE 4</w:t>
      </w:r>
    </w:p>
    <w:p w:rsidR="00451327" w:rsidRPr="00F14631" w:rsidRDefault="00451327" w:rsidP="007D39AB">
      <w:pPr>
        <w:widowControl/>
        <w:spacing w:after="240"/>
        <w:jc w:val="center"/>
        <w:rPr>
          <w:b/>
          <w:szCs w:val="24"/>
          <w:u w:val="single"/>
        </w:rPr>
      </w:pPr>
      <w:r w:rsidRPr="00F14631">
        <w:rPr>
          <w:b/>
          <w:szCs w:val="24"/>
          <w:u w:val="single"/>
        </w:rPr>
        <w:t xml:space="preserve">TO </w:t>
      </w:r>
      <w:r>
        <w:rPr>
          <w:b/>
          <w:szCs w:val="24"/>
          <w:u w:val="single"/>
        </w:rPr>
        <w:t xml:space="preserve">MULTIFAMILY </w:t>
      </w:r>
      <w:r w:rsidRPr="00F14631">
        <w:rPr>
          <w:b/>
          <w:szCs w:val="24"/>
          <w:u w:val="single"/>
        </w:rPr>
        <w:t xml:space="preserve">LOAN </w:t>
      </w:r>
      <w:r>
        <w:rPr>
          <w:b/>
          <w:szCs w:val="24"/>
          <w:u w:val="single"/>
        </w:rPr>
        <w:t xml:space="preserve">AND SECURITY </w:t>
      </w:r>
      <w:r w:rsidRPr="00F14631">
        <w:rPr>
          <w:b/>
          <w:szCs w:val="24"/>
          <w:u w:val="single"/>
        </w:rPr>
        <w:t>AGREEMENT</w:t>
      </w:r>
    </w:p>
    <w:p w:rsidR="00451327" w:rsidRPr="00773C19" w:rsidRDefault="00451327" w:rsidP="007D39AB">
      <w:pPr>
        <w:widowControl/>
        <w:suppressAutoHyphens/>
        <w:jc w:val="center"/>
        <w:rPr>
          <w:b/>
          <w:szCs w:val="24"/>
        </w:rPr>
      </w:pPr>
      <w:r w:rsidRPr="00773C19">
        <w:rPr>
          <w:b/>
          <w:szCs w:val="24"/>
        </w:rPr>
        <w:t>Prepayment Premium Schedule</w:t>
      </w:r>
    </w:p>
    <w:p w:rsidR="00451327" w:rsidRPr="00773C19" w:rsidRDefault="00451327" w:rsidP="007D39AB">
      <w:pPr>
        <w:widowControl/>
        <w:suppressAutoHyphens/>
        <w:spacing w:after="360"/>
        <w:jc w:val="center"/>
        <w:rPr>
          <w:b/>
          <w:szCs w:val="24"/>
        </w:rPr>
      </w:pPr>
      <w:r w:rsidRPr="00773C19">
        <w:rPr>
          <w:b/>
          <w:szCs w:val="24"/>
        </w:rPr>
        <w:t>(Standard Yield Maintenance – Fixed</w:t>
      </w:r>
      <w:r>
        <w:rPr>
          <w:b/>
          <w:szCs w:val="24"/>
        </w:rPr>
        <w:t xml:space="preserve"> Rate</w:t>
      </w:r>
      <w:r w:rsidRPr="00773C19">
        <w:rPr>
          <w:b/>
          <w:szCs w:val="24"/>
        </w:rPr>
        <w:t>)</w:t>
      </w:r>
    </w:p>
    <w:p w:rsidR="007D39AB" w:rsidRDefault="00451327" w:rsidP="007D39AB">
      <w:pPr>
        <w:keepNext/>
        <w:widowControl/>
        <w:numPr>
          <w:ilvl w:val="0"/>
          <w:numId w:val="4"/>
        </w:numPr>
        <w:tabs>
          <w:tab w:val="clear" w:pos="1440"/>
          <w:tab w:val="left" w:pos="-720"/>
        </w:tabs>
        <w:suppressAutoHyphens/>
        <w:spacing w:after="240"/>
        <w:ind w:firstLine="0"/>
        <w:jc w:val="both"/>
        <w:rPr>
          <w:szCs w:val="24"/>
        </w:rPr>
      </w:pPr>
      <w:r w:rsidRPr="00940FD9">
        <w:rPr>
          <w:b/>
          <w:bCs/>
          <w:szCs w:val="24"/>
        </w:rPr>
        <w:t>Defined Terms.</w:t>
      </w:r>
    </w:p>
    <w:p w:rsidR="007D39AB" w:rsidRDefault="00451327" w:rsidP="007D39AB">
      <w:pPr>
        <w:widowControl/>
        <w:tabs>
          <w:tab w:val="left" w:pos="-720"/>
        </w:tabs>
        <w:suppressAutoHyphens/>
        <w:spacing w:after="240"/>
        <w:ind w:firstLine="720"/>
        <w:jc w:val="both"/>
        <w:rPr>
          <w:szCs w:val="24"/>
        </w:rPr>
      </w:pPr>
      <w:r w:rsidRPr="00E72821">
        <w:rPr>
          <w:szCs w:val="24"/>
        </w:rPr>
        <w:t xml:space="preserve">All capitalized terms used but not defined in this </w:t>
      </w:r>
      <w:r w:rsidR="00724033">
        <w:rPr>
          <w:szCs w:val="24"/>
        </w:rPr>
        <w:t xml:space="preserve">Prepayment Premium </w:t>
      </w:r>
      <w:r>
        <w:rPr>
          <w:szCs w:val="24"/>
        </w:rPr>
        <w:t>Schedule</w:t>
      </w:r>
      <w:r w:rsidRPr="00E72821">
        <w:rPr>
          <w:szCs w:val="24"/>
        </w:rPr>
        <w:t xml:space="preserve"> shall have the meanings assigned to them in the Loan Agreemen</w:t>
      </w:r>
      <w:bookmarkStart w:id="0" w:name="_GoBack"/>
      <w:bookmarkEnd w:id="0"/>
      <w:r w:rsidRPr="00E72821">
        <w:rPr>
          <w:szCs w:val="24"/>
        </w:rPr>
        <w:t>t.</w:t>
      </w:r>
    </w:p>
    <w:p w:rsidR="007D39AB" w:rsidRDefault="00451327" w:rsidP="007D39AB">
      <w:pPr>
        <w:keepNext/>
        <w:widowControl/>
        <w:numPr>
          <w:ilvl w:val="0"/>
          <w:numId w:val="4"/>
        </w:numPr>
        <w:tabs>
          <w:tab w:val="clear" w:pos="1440"/>
        </w:tabs>
        <w:suppressAutoHyphens/>
        <w:spacing w:after="240"/>
        <w:ind w:firstLine="0"/>
        <w:jc w:val="both"/>
        <w:rPr>
          <w:b/>
          <w:szCs w:val="24"/>
        </w:rPr>
      </w:pPr>
      <w:r w:rsidRPr="00F14631">
        <w:rPr>
          <w:b/>
          <w:szCs w:val="24"/>
        </w:rPr>
        <w:t>Prepayment Premium.</w:t>
      </w:r>
    </w:p>
    <w:p w:rsidR="00451327" w:rsidRPr="00F14631" w:rsidRDefault="00451327" w:rsidP="007D39AB">
      <w:pPr>
        <w:widowControl/>
        <w:suppressAutoHyphens/>
        <w:spacing w:after="240"/>
        <w:ind w:firstLine="720"/>
        <w:jc w:val="both"/>
        <w:rPr>
          <w:szCs w:val="24"/>
        </w:rPr>
      </w:pPr>
      <w:r w:rsidRPr="00F14631">
        <w:rPr>
          <w:szCs w:val="24"/>
        </w:rPr>
        <w:t xml:space="preserve">Any Prepayment Premium payable under </w:t>
      </w:r>
      <w:r>
        <w:rPr>
          <w:szCs w:val="24"/>
        </w:rPr>
        <w:t>Section</w:t>
      </w:r>
      <w:r w:rsidR="00404693">
        <w:rPr>
          <w:szCs w:val="24"/>
        </w:rPr>
        <w:t> </w:t>
      </w:r>
      <w:r>
        <w:rPr>
          <w:szCs w:val="24"/>
        </w:rPr>
        <w:t xml:space="preserve">2.03 (Lockout/Prepayment) of the Loan Agreement </w:t>
      </w:r>
      <w:r w:rsidRPr="00F14631">
        <w:rPr>
          <w:szCs w:val="24"/>
        </w:rPr>
        <w:t>shall be computed as follows:</w:t>
      </w:r>
    </w:p>
    <w:p w:rsidR="007D39AB" w:rsidRDefault="00451327" w:rsidP="007D39AB">
      <w:pPr>
        <w:widowControl/>
        <w:numPr>
          <w:ilvl w:val="1"/>
          <w:numId w:val="4"/>
        </w:numPr>
        <w:suppressAutoHyphens/>
        <w:spacing w:after="240"/>
        <w:jc w:val="both"/>
        <w:rPr>
          <w:szCs w:val="24"/>
        </w:rPr>
      </w:pPr>
      <w:r w:rsidRPr="00F14631">
        <w:rPr>
          <w:szCs w:val="24"/>
        </w:rPr>
        <w:t xml:space="preserve">If the prepayment is made at any time after the </w:t>
      </w:r>
      <w:r>
        <w:rPr>
          <w:szCs w:val="24"/>
        </w:rPr>
        <w:t xml:space="preserve">Effective Date </w:t>
      </w:r>
      <w:r w:rsidRPr="00F14631">
        <w:rPr>
          <w:szCs w:val="24"/>
        </w:rPr>
        <w:t xml:space="preserve">and before the Yield Maintenance Period End Date, the </w:t>
      </w:r>
      <w:r w:rsidR="009444A3">
        <w:rPr>
          <w:szCs w:val="24"/>
        </w:rPr>
        <w:t>P</w:t>
      </w:r>
      <w:r w:rsidRPr="00F14631">
        <w:rPr>
          <w:szCs w:val="24"/>
        </w:rPr>
        <w:t xml:space="preserve">repayment </w:t>
      </w:r>
      <w:r w:rsidR="009444A3">
        <w:rPr>
          <w:szCs w:val="24"/>
        </w:rPr>
        <w:t>P</w:t>
      </w:r>
      <w:r w:rsidRPr="00F14631">
        <w:rPr>
          <w:szCs w:val="24"/>
        </w:rPr>
        <w:t>remium shall be the greater of:</w:t>
      </w:r>
    </w:p>
    <w:p w:rsidR="00451327" w:rsidRDefault="00404693" w:rsidP="007D39AB">
      <w:pPr>
        <w:widowControl/>
        <w:numPr>
          <w:ilvl w:val="2"/>
          <w:numId w:val="4"/>
        </w:numPr>
        <w:suppressAutoHyphens/>
        <w:spacing w:after="240"/>
        <w:jc w:val="both"/>
        <w:rPr>
          <w:szCs w:val="24"/>
        </w:rPr>
      </w:pPr>
      <w:r>
        <w:rPr>
          <w:szCs w:val="24"/>
        </w:rPr>
        <w:t>one percent </w:t>
      </w:r>
      <w:r w:rsidR="00451327">
        <w:rPr>
          <w:szCs w:val="24"/>
        </w:rPr>
        <w:t>(</w:t>
      </w:r>
      <w:r w:rsidR="00451327" w:rsidRPr="00F14631">
        <w:rPr>
          <w:szCs w:val="24"/>
        </w:rPr>
        <w:t>1%</w:t>
      </w:r>
      <w:r w:rsidR="00451327">
        <w:rPr>
          <w:szCs w:val="24"/>
        </w:rPr>
        <w:t>)</w:t>
      </w:r>
      <w:r w:rsidR="00451327" w:rsidRPr="00F14631">
        <w:rPr>
          <w:szCs w:val="24"/>
        </w:rPr>
        <w:t xml:space="preserve"> of the amount of principal being prepaid; or</w:t>
      </w:r>
    </w:p>
    <w:p w:rsidR="00451327" w:rsidRDefault="00451327" w:rsidP="007D39AB">
      <w:pPr>
        <w:widowControl/>
        <w:numPr>
          <w:ilvl w:val="2"/>
          <w:numId w:val="4"/>
        </w:numPr>
        <w:suppressAutoHyphens/>
        <w:spacing w:after="240"/>
        <w:jc w:val="both"/>
        <w:rPr>
          <w:szCs w:val="24"/>
        </w:rPr>
      </w:pPr>
      <w:r>
        <w:rPr>
          <w:szCs w:val="24"/>
        </w:rPr>
        <w:t>t</w:t>
      </w:r>
      <w:r w:rsidRPr="00F14631">
        <w:rPr>
          <w:szCs w:val="24"/>
        </w:rPr>
        <w:t>he product obtained by multiplying:</w:t>
      </w:r>
    </w:p>
    <w:p w:rsidR="00451327" w:rsidRPr="00F14631" w:rsidRDefault="00451327" w:rsidP="007D39AB">
      <w:pPr>
        <w:widowControl/>
        <w:numPr>
          <w:ilvl w:val="3"/>
          <w:numId w:val="4"/>
        </w:numPr>
        <w:suppressAutoHyphens/>
        <w:spacing w:after="240"/>
        <w:jc w:val="both"/>
        <w:rPr>
          <w:szCs w:val="24"/>
        </w:rPr>
      </w:pPr>
      <w:r w:rsidRPr="00F14631">
        <w:rPr>
          <w:szCs w:val="24"/>
        </w:rPr>
        <w:t>the amount of principal being prepaid,</w:t>
      </w:r>
    </w:p>
    <w:p w:rsidR="00451327" w:rsidRPr="00F14631" w:rsidRDefault="00451327" w:rsidP="007D39AB">
      <w:pPr>
        <w:widowControl/>
        <w:suppressAutoHyphens/>
        <w:spacing w:after="240"/>
        <w:ind w:left="2880" w:hanging="720"/>
        <w:jc w:val="both"/>
        <w:rPr>
          <w:i/>
          <w:szCs w:val="24"/>
        </w:rPr>
      </w:pPr>
      <w:r w:rsidRPr="00F14631">
        <w:rPr>
          <w:i/>
          <w:szCs w:val="24"/>
        </w:rPr>
        <w:t>by</w:t>
      </w:r>
    </w:p>
    <w:p w:rsidR="00451327" w:rsidRPr="00F14631" w:rsidRDefault="00451327" w:rsidP="007D39AB">
      <w:pPr>
        <w:widowControl/>
        <w:numPr>
          <w:ilvl w:val="3"/>
          <w:numId w:val="4"/>
        </w:numPr>
        <w:suppressAutoHyphens/>
        <w:spacing w:after="240"/>
        <w:jc w:val="both"/>
        <w:rPr>
          <w:i/>
          <w:szCs w:val="24"/>
        </w:rPr>
      </w:pPr>
      <w:r w:rsidRPr="00F14631">
        <w:rPr>
          <w:szCs w:val="24"/>
        </w:rPr>
        <w:t xml:space="preserve">the difference obtained by subtracting from the </w:t>
      </w:r>
      <w:r w:rsidR="00BE75A0">
        <w:rPr>
          <w:szCs w:val="24"/>
        </w:rPr>
        <w:t xml:space="preserve">Fixed </w:t>
      </w:r>
      <w:r w:rsidRPr="00F14631">
        <w:rPr>
          <w:szCs w:val="24"/>
        </w:rPr>
        <w:t>Rate on the Mortgage Loan</w:t>
      </w:r>
      <w:r>
        <w:rPr>
          <w:szCs w:val="24"/>
        </w:rPr>
        <w:t>, the Yield</w:t>
      </w:r>
      <w:r w:rsidRPr="00F14631">
        <w:rPr>
          <w:szCs w:val="24"/>
        </w:rPr>
        <w:t xml:space="preserve"> Rate (as defined below) on the twenty-fifth</w:t>
      </w:r>
      <w:r w:rsidR="00404693">
        <w:rPr>
          <w:szCs w:val="24"/>
        </w:rPr>
        <w:t> </w:t>
      </w:r>
      <w:r>
        <w:rPr>
          <w:szCs w:val="24"/>
        </w:rPr>
        <w:t xml:space="preserve">(25th) </w:t>
      </w:r>
      <w:r w:rsidRPr="00F14631">
        <w:rPr>
          <w:szCs w:val="24"/>
        </w:rPr>
        <w:t>Business Day preceding (</w:t>
      </w:r>
      <w:r>
        <w:rPr>
          <w:szCs w:val="24"/>
        </w:rPr>
        <w:t>i</w:t>
      </w:r>
      <w:r w:rsidRPr="00F14631">
        <w:rPr>
          <w:szCs w:val="24"/>
        </w:rPr>
        <w:t>)</w:t>
      </w:r>
      <w:r>
        <w:rPr>
          <w:szCs w:val="24"/>
        </w:rPr>
        <w:t> </w:t>
      </w:r>
      <w:r w:rsidRPr="00F14631">
        <w:rPr>
          <w:szCs w:val="24"/>
        </w:rPr>
        <w:t>the Intended Prepayment Date, or (</w:t>
      </w:r>
      <w:r>
        <w:rPr>
          <w:szCs w:val="24"/>
        </w:rPr>
        <w:t>ii</w:t>
      </w:r>
      <w:r w:rsidRPr="00F14631">
        <w:rPr>
          <w:szCs w:val="24"/>
        </w:rPr>
        <w:t>)</w:t>
      </w:r>
      <w:r>
        <w:rPr>
          <w:szCs w:val="24"/>
        </w:rPr>
        <w:t> </w:t>
      </w:r>
      <w:r w:rsidRPr="00F14631">
        <w:rPr>
          <w:szCs w:val="24"/>
        </w:rPr>
        <w:t xml:space="preserve">the date Lender accelerates the Mortgage Loan or otherwise accepts a prepayment pursuant to </w:t>
      </w:r>
      <w:r>
        <w:rPr>
          <w:szCs w:val="24"/>
        </w:rPr>
        <w:t>Section 2.03(d) (Application of Collateral) of the Loan Agreement,</w:t>
      </w:r>
    </w:p>
    <w:p w:rsidR="007D39AB" w:rsidRDefault="00451327" w:rsidP="007D39AB">
      <w:pPr>
        <w:widowControl/>
        <w:suppressAutoHyphens/>
        <w:spacing w:after="240"/>
        <w:ind w:left="5760" w:hanging="3600"/>
        <w:jc w:val="both"/>
        <w:rPr>
          <w:szCs w:val="24"/>
        </w:rPr>
      </w:pPr>
      <w:r w:rsidRPr="00F14631">
        <w:rPr>
          <w:i/>
          <w:szCs w:val="24"/>
        </w:rPr>
        <w:t>by</w:t>
      </w:r>
    </w:p>
    <w:p w:rsidR="00451327" w:rsidRPr="00F14631" w:rsidRDefault="00451327" w:rsidP="007D39AB">
      <w:pPr>
        <w:widowControl/>
        <w:numPr>
          <w:ilvl w:val="3"/>
          <w:numId w:val="4"/>
        </w:numPr>
        <w:suppressAutoHyphens/>
        <w:spacing w:after="240"/>
        <w:jc w:val="both"/>
        <w:rPr>
          <w:szCs w:val="24"/>
        </w:rPr>
      </w:pPr>
      <w:r w:rsidRPr="00F14631">
        <w:rPr>
          <w:szCs w:val="24"/>
        </w:rPr>
        <w:t>the present value factor calculated using the following formula:</w:t>
      </w:r>
    </w:p>
    <w:p w:rsidR="00451327" w:rsidRPr="00F14631" w:rsidRDefault="00451327" w:rsidP="007D39AB">
      <w:pPr>
        <w:widowControl/>
        <w:suppressAutoHyphens/>
        <w:ind w:left="4320"/>
        <w:jc w:val="both"/>
        <w:rPr>
          <w:szCs w:val="24"/>
        </w:rPr>
      </w:pPr>
      <w:r w:rsidRPr="00F14631">
        <w:rPr>
          <w:szCs w:val="24"/>
          <w:u w:val="single"/>
        </w:rPr>
        <w:t>1 - (1 + r)</w:t>
      </w:r>
      <w:r w:rsidRPr="00F14631">
        <w:rPr>
          <w:szCs w:val="24"/>
          <w:u w:val="single"/>
          <w:vertAlign w:val="superscript"/>
        </w:rPr>
        <w:t>-n/12</w:t>
      </w:r>
    </w:p>
    <w:p w:rsidR="00451327" w:rsidRPr="00F14631" w:rsidRDefault="00404693" w:rsidP="007D39AB">
      <w:pPr>
        <w:widowControl/>
        <w:suppressAutoHyphens/>
        <w:ind w:left="4320"/>
        <w:jc w:val="both"/>
        <w:rPr>
          <w:szCs w:val="24"/>
        </w:rPr>
      </w:pPr>
      <w:r>
        <w:rPr>
          <w:szCs w:val="24"/>
        </w:rPr>
        <w:tab/>
      </w:r>
      <w:r w:rsidR="00451327" w:rsidRPr="00F14631">
        <w:rPr>
          <w:szCs w:val="24"/>
        </w:rPr>
        <w:t>r</w:t>
      </w:r>
    </w:p>
    <w:p w:rsidR="00451327" w:rsidRPr="00F14631" w:rsidRDefault="00451327" w:rsidP="007D39AB">
      <w:pPr>
        <w:widowControl/>
        <w:suppressAutoHyphens/>
        <w:spacing w:before="240" w:after="240"/>
        <w:ind w:left="2880"/>
        <w:jc w:val="both"/>
        <w:rPr>
          <w:szCs w:val="24"/>
        </w:rPr>
      </w:pPr>
      <w:r w:rsidRPr="00F14631">
        <w:rPr>
          <w:szCs w:val="24"/>
        </w:rPr>
        <w:t>[r =</w:t>
      </w:r>
      <w:r w:rsidRPr="00F14631">
        <w:rPr>
          <w:szCs w:val="24"/>
        </w:rPr>
        <w:tab/>
        <w:t>Yield Rate</w:t>
      </w:r>
    </w:p>
    <w:p w:rsidR="00451327" w:rsidRPr="00F14631" w:rsidRDefault="00451327" w:rsidP="007D39AB">
      <w:pPr>
        <w:widowControl/>
        <w:suppressAutoHyphens/>
        <w:spacing w:after="240"/>
        <w:ind w:left="3600" w:hanging="720"/>
        <w:jc w:val="both"/>
        <w:rPr>
          <w:szCs w:val="24"/>
        </w:rPr>
      </w:pPr>
      <w:r w:rsidRPr="00F14631">
        <w:rPr>
          <w:szCs w:val="24"/>
        </w:rPr>
        <w:t>n =</w:t>
      </w:r>
      <w:r w:rsidRPr="00F14631">
        <w:rPr>
          <w:szCs w:val="24"/>
        </w:rPr>
        <w:tab/>
        <w:t>the number of months remaining between (</w:t>
      </w:r>
      <w:r>
        <w:rPr>
          <w:szCs w:val="24"/>
        </w:rPr>
        <w:t>i</w:t>
      </w:r>
      <w:r w:rsidRPr="00F14631">
        <w:rPr>
          <w:szCs w:val="24"/>
        </w:rPr>
        <w:t>)</w:t>
      </w:r>
      <w:r>
        <w:rPr>
          <w:szCs w:val="24"/>
        </w:rPr>
        <w:t> </w:t>
      </w:r>
      <w:r w:rsidRPr="00F14631">
        <w:rPr>
          <w:szCs w:val="24"/>
        </w:rPr>
        <w:t>either of the following: (x)</w:t>
      </w:r>
      <w:r>
        <w:rPr>
          <w:szCs w:val="24"/>
        </w:rPr>
        <w:t> </w:t>
      </w:r>
      <w:r w:rsidRPr="00F14631">
        <w:rPr>
          <w:szCs w:val="24"/>
        </w:rPr>
        <w:t>in the case of a voluntary prepayment, the last day of the month in which the prepayment is made, or (y)</w:t>
      </w:r>
      <w:r>
        <w:rPr>
          <w:szCs w:val="24"/>
        </w:rPr>
        <w:t> </w:t>
      </w:r>
      <w:r w:rsidRPr="00F14631">
        <w:rPr>
          <w:szCs w:val="24"/>
        </w:rPr>
        <w:t xml:space="preserve">in </w:t>
      </w:r>
      <w:r w:rsidRPr="00F14631">
        <w:rPr>
          <w:szCs w:val="24"/>
        </w:rPr>
        <w:lastRenderedPageBreak/>
        <w:t>any other case, the date on which Lender accelerates the unpaid principal balance of the Mortgage Loan and (</w:t>
      </w:r>
      <w:r>
        <w:rPr>
          <w:szCs w:val="24"/>
        </w:rPr>
        <w:t>ii</w:t>
      </w:r>
      <w:r w:rsidRPr="00F14631">
        <w:rPr>
          <w:szCs w:val="24"/>
        </w:rPr>
        <w:t>)</w:t>
      </w:r>
      <w:r>
        <w:rPr>
          <w:szCs w:val="24"/>
        </w:rPr>
        <w:t> </w:t>
      </w:r>
      <w:r w:rsidRPr="00F14631">
        <w:rPr>
          <w:szCs w:val="24"/>
        </w:rPr>
        <w:t>the Yield Maintenance Period End Date.</w:t>
      </w:r>
    </w:p>
    <w:p w:rsidR="007D39AB" w:rsidRDefault="00451327" w:rsidP="007D39AB">
      <w:pPr>
        <w:widowControl/>
        <w:suppressAutoHyphens/>
        <w:spacing w:after="240"/>
        <w:ind w:left="3600"/>
        <w:jc w:val="both"/>
        <w:rPr>
          <w:szCs w:val="24"/>
        </w:rPr>
      </w:pPr>
      <w:r w:rsidRPr="00F14631">
        <w:rPr>
          <w:szCs w:val="24"/>
        </w:rPr>
        <w:t>For purposes of this clause</w:t>
      </w:r>
      <w:r w:rsidR="007D39AB">
        <w:rPr>
          <w:szCs w:val="24"/>
        </w:rPr>
        <w:t> </w:t>
      </w:r>
      <w:r w:rsidR="001063A5">
        <w:rPr>
          <w:szCs w:val="24"/>
        </w:rPr>
        <w:t>(2</w:t>
      </w:r>
      <w:r w:rsidRPr="00F14631">
        <w:rPr>
          <w:szCs w:val="24"/>
        </w:rPr>
        <w:t xml:space="preserve">), the </w:t>
      </w:r>
      <w:r>
        <w:rPr>
          <w:szCs w:val="24"/>
        </w:rPr>
        <w:t>“</w:t>
      </w:r>
      <w:r w:rsidRPr="00F14631">
        <w:rPr>
          <w:b/>
          <w:szCs w:val="24"/>
        </w:rPr>
        <w:t>Yield Rate</w:t>
      </w:r>
      <w:r>
        <w:rPr>
          <w:szCs w:val="24"/>
        </w:rPr>
        <w:t>”</w:t>
      </w:r>
      <w:r w:rsidRPr="00F14631">
        <w:rPr>
          <w:szCs w:val="24"/>
        </w:rPr>
        <w:t xml:space="preserve"> </w:t>
      </w:r>
      <w:r>
        <w:rPr>
          <w:szCs w:val="24"/>
        </w:rPr>
        <w:t>means</w:t>
      </w:r>
      <w:r w:rsidRPr="00F14631">
        <w:rPr>
          <w:szCs w:val="24"/>
        </w:rPr>
        <w:t xml:space="preserve"> the yield calculated by interpolating the yields for the immediately shorter and longer term U.S. </w:t>
      </w:r>
      <w:r>
        <w:rPr>
          <w:szCs w:val="24"/>
        </w:rPr>
        <w:t>“</w:t>
      </w:r>
      <w:r w:rsidRPr="00F14631">
        <w:rPr>
          <w:szCs w:val="24"/>
        </w:rPr>
        <w:t>Treasury constant maturities</w:t>
      </w:r>
      <w:r>
        <w:rPr>
          <w:szCs w:val="24"/>
        </w:rPr>
        <w:t>”</w:t>
      </w:r>
      <w:r w:rsidRPr="00F14631">
        <w:rPr>
          <w:szCs w:val="24"/>
        </w:rPr>
        <w:t xml:space="preserve"> (as reported in the Federal Reserve Statistical Release H.15 Selected Interest Rates (the </w:t>
      </w:r>
      <w:r>
        <w:rPr>
          <w:szCs w:val="24"/>
        </w:rPr>
        <w:t>“</w:t>
      </w:r>
      <w:r w:rsidRPr="00F14631">
        <w:rPr>
          <w:b/>
          <w:szCs w:val="24"/>
        </w:rPr>
        <w:t>Fed Release</w:t>
      </w:r>
      <w:r>
        <w:rPr>
          <w:szCs w:val="24"/>
        </w:rPr>
        <w:t>”</w:t>
      </w:r>
      <w:r w:rsidRPr="00F14631">
        <w:rPr>
          <w:szCs w:val="24"/>
        </w:rPr>
        <w:t xml:space="preserve">) under the heading </w:t>
      </w:r>
      <w:r>
        <w:rPr>
          <w:szCs w:val="24"/>
        </w:rPr>
        <w:t>“</w:t>
      </w:r>
      <w:r w:rsidRPr="00F14631">
        <w:rPr>
          <w:szCs w:val="24"/>
        </w:rPr>
        <w:t>U.S. government securities</w:t>
      </w:r>
      <w:r>
        <w:rPr>
          <w:szCs w:val="24"/>
        </w:rPr>
        <w:t>”</w:t>
      </w:r>
      <w:r w:rsidRPr="00F14631">
        <w:rPr>
          <w:szCs w:val="24"/>
        </w:rPr>
        <w:t>) closest to the remaining term of the Yield Maintenance Period Term, as follows (rounded to three</w:t>
      </w:r>
      <w:r w:rsidR="007D39AB">
        <w:rPr>
          <w:szCs w:val="24"/>
        </w:rPr>
        <w:t> </w:t>
      </w:r>
      <w:r>
        <w:rPr>
          <w:szCs w:val="24"/>
        </w:rPr>
        <w:t xml:space="preserve">(3) </w:t>
      </w:r>
      <w:r w:rsidRPr="00F14631">
        <w:rPr>
          <w:szCs w:val="24"/>
        </w:rPr>
        <w:t>decimal places):</w:t>
      </w:r>
    </w:p>
    <w:p w:rsidR="00451327" w:rsidRPr="00F14631" w:rsidRDefault="00451327" w:rsidP="007D39AB">
      <w:pPr>
        <w:widowControl/>
        <w:suppressAutoHyphens/>
        <w:ind w:left="3600" w:firstLine="720"/>
        <w:jc w:val="both"/>
        <w:rPr>
          <w:szCs w:val="24"/>
        </w:rPr>
      </w:pPr>
      <w:r w:rsidRPr="00F14631">
        <w:rPr>
          <w:b/>
          <w:position w:val="-30"/>
          <w:szCs w:val="24"/>
        </w:rPr>
        <w:object w:dxaOrig="20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6pt" o:ole="">
            <v:imagedata r:id="rId7" o:title=""/>
          </v:shape>
          <o:OLEObject Type="Embed" ProgID="Equation.3" ShapeID="_x0000_i1025" DrawAspect="Content" ObjectID="_1650446818" r:id="rId8"/>
        </w:object>
      </w:r>
    </w:p>
    <w:p w:rsidR="00451327" w:rsidRPr="00F14631" w:rsidRDefault="00451327" w:rsidP="007D39AB">
      <w:pPr>
        <w:widowControl/>
        <w:suppressAutoHyphens/>
        <w:spacing w:before="240"/>
        <w:ind w:left="4320" w:hanging="720"/>
        <w:jc w:val="both"/>
        <w:rPr>
          <w:szCs w:val="24"/>
        </w:rPr>
      </w:pPr>
      <w:r w:rsidRPr="00F14631">
        <w:rPr>
          <w:i/>
          <w:szCs w:val="24"/>
        </w:rPr>
        <w:t>a</w:t>
      </w:r>
      <w:r w:rsidRPr="00F14631">
        <w:rPr>
          <w:szCs w:val="24"/>
        </w:rPr>
        <w:t xml:space="preserve"> =</w:t>
      </w:r>
      <w:r w:rsidRPr="00F14631">
        <w:rPr>
          <w:szCs w:val="24"/>
        </w:rPr>
        <w:tab/>
        <w:t>the yield for the longer U.S. Treasury constant maturity</w:t>
      </w:r>
    </w:p>
    <w:p w:rsidR="00451327" w:rsidRPr="00F14631" w:rsidRDefault="00451327" w:rsidP="007D39AB">
      <w:pPr>
        <w:widowControl/>
        <w:suppressAutoHyphens/>
        <w:ind w:left="4320" w:hanging="720"/>
        <w:jc w:val="both"/>
        <w:rPr>
          <w:szCs w:val="24"/>
        </w:rPr>
      </w:pPr>
      <w:r w:rsidRPr="00F14631">
        <w:rPr>
          <w:i/>
          <w:szCs w:val="24"/>
        </w:rPr>
        <w:t>b</w:t>
      </w:r>
      <w:r w:rsidRPr="00F14631">
        <w:rPr>
          <w:szCs w:val="24"/>
        </w:rPr>
        <w:t xml:space="preserve"> =</w:t>
      </w:r>
      <w:r w:rsidRPr="00F14631">
        <w:rPr>
          <w:szCs w:val="24"/>
        </w:rPr>
        <w:tab/>
        <w:t>the yield for the shorter U.S. Treasury constant maturity</w:t>
      </w:r>
    </w:p>
    <w:p w:rsidR="00451327" w:rsidRPr="00F14631" w:rsidRDefault="00451327" w:rsidP="007D39AB">
      <w:pPr>
        <w:widowControl/>
        <w:suppressAutoHyphens/>
        <w:ind w:left="4320" w:hanging="720"/>
        <w:jc w:val="both"/>
        <w:rPr>
          <w:szCs w:val="24"/>
        </w:rPr>
      </w:pPr>
      <w:r w:rsidRPr="00F14631">
        <w:rPr>
          <w:i/>
          <w:szCs w:val="24"/>
        </w:rPr>
        <w:t>x</w:t>
      </w:r>
      <w:r w:rsidRPr="00F14631">
        <w:rPr>
          <w:szCs w:val="24"/>
        </w:rPr>
        <w:t xml:space="preserve"> =</w:t>
      </w:r>
      <w:r w:rsidRPr="00F14631">
        <w:rPr>
          <w:szCs w:val="24"/>
        </w:rPr>
        <w:tab/>
        <w:t>the term of the longer U.S. Treasury constant maturity</w:t>
      </w:r>
    </w:p>
    <w:p w:rsidR="00451327" w:rsidRPr="00F14631" w:rsidRDefault="00451327" w:rsidP="007D39AB">
      <w:pPr>
        <w:widowControl/>
        <w:suppressAutoHyphens/>
        <w:ind w:left="4320" w:hanging="720"/>
        <w:jc w:val="both"/>
        <w:rPr>
          <w:szCs w:val="24"/>
        </w:rPr>
      </w:pPr>
      <w:r w:rsidRPr="00F14631">
        <w:rPr>
          <w:i/>
          <w:szCs w:val="24"/>
        </w:rPr>
        <w:t>y</w:t>
      </w:r>
      <w:r w:rsidRPr="00F14631">
        <w:rPr>
          <w:szCs w:val="24"/>
        </w:rPr>
        <w:t xml:space="preserve"> =</w:t>
      </w:r>
      <w:r w:rsidRPr="00F14631">
        <w:rPr>
          <w:szCs w:val="24"/>
        </w:rPr>
        <w:tab/>
        <w:t>the term of the shorter U.S. Treasury constant maturity</w:t>
      </w:r>
    </w:p>
    <w:p w:rsidR="00451327" w:rsidRPr="00F14631" w:rsidRDefault="00451327" w:rsidP="007D39AB">
      <w:pPr>
        <w:widowControl/>
        <w:suppressAutoHyphens/>
        <w:spacing w:after="240"/>
        <w:ind w:left="4320" w:hanging="720"/>
        <w:jc w:val="both"/>
        <w:rPr>
          <w:szCs w:val="24"/>
        </w:rPr>
      </w:pPr>
      <w:r w:rsidRPr="00F14631">
        <w:rPr>
          <w:i/>
          <w:szCs w:val="24"/>
        </w:rPr>
        <w:t>z</w:t>
      </w:r>
      <w:r w:rsidRPr="00F14631">
        <w:rPr>
          <w:szCs w:val="24"/>
        </w:rPr>
        <w:t xml:space="preserve"> =</w:t>
      </w:r>
      <w:r w:rsidRPr="00F14631">
        <w:rPr>
          <w:szCs w:val="24"/>
        </w:rPr>
        <w:tab/>
      </w:r>
      <w:r>
        <w:rPr>
          <w:szCs w:val="24"/>
        </w:rPr>
        <w:t>“</w:t>
      </w:r>
      <w:r w:rsidRPr="00F14631">
        <w:rPr>
          <w:szCs w:val="24"/>
        </w:rPr>
        <w:t>n</w:t>
      </w:r>
      <w:r>
        <w:rPr>
          <w:szCs w:val="24"/>
        </w:rPr>
        <w:t>”</w:t>
      </w:r>
      <w:r w:rsidRPr="00F14631">
        <w:rPr>
          <w:szCs w:val="24"/>
        </w:rPr>
        <w:t xml:space="preserve"> (as defined in the present value factor calculation above) divided by </w:t>
      </w:r>
      <w:r>
        <w:rPr>
          <w:szCs w:val="24"/>
        </w:rPr>
        <w:t>twelve</w:t>
      </w:r>
      <w:r w:rsidR="007D39AB">
        <w:rPr>
          <w:szCs w:val="24"/>
        </w:rPr>
        <w:t> </w:t>
      </w:r>
      <w:r>
        <w:rPr>
          <w:szCs w:val="24"/>
        </w:rPr>
        <w:t>(</w:t>
      </w:r>
      <w:r w:rsidRPr="00F14631">
        <w:rPr>
          <w:szCs w:val="24"/>
        </w:rPr>
        <w:t>12</w:t>
      </w:r>
      <w:r>
        <w:rPr>
          <w:szCs w:val="24"/>
        </w:rPr>
        <w:t>)</w:t>
      </w:r>
      <w:r w:rsidRPr="00F14631">
        <w:rPr>
          <w:szCs w:val="24"/>
        </w:rPr>
        <w:t>.</w:t>
      </w:r>
    </w:p>
    <w:p w:rsidR="00CB5968" w:rsidRDefault="0057505E" w:rsidP="007D39AB">
      <w:pPr>
        <w:widowControl/>
        <w:suppressAutoHyphens/>
        <w:spacing w:after="240"/>
        <w:ind w:left="3600"/>
        <w:jc w:val="both"/>
        <w:rPr>
          <w:szCs w:val="24"/>
        </w:rPr>
      </w:pPr>
      <w:r>
        <w:rPr>
          <w:szCs w:val="24"/>
        </w:rPr>
        <w:t xml:space="preserve">For purposes of this clause (2), if </w:t>
      </w:r>
      <w:r w:rsidR="00CB5968" w:rsidRPr="00CB5968">
        <w:rPr>
          <w:szCs w:val="24"/>
        </w:rPr>
        <w:t xml:space="preserve">the Yield Rate is </w:t>
      </w:r>
      <w:r>
        <w:rPr>
          <w:szCs w:val="24"/>
        </w:rPr>
        <w:t xml:space="preserve">calculated to be </w:t>
      </w:r>
      <w:r w:rsidR="00CB5968" w:rsidRPr="00CB5968">
        <w:rPr>
          <w:szCs w:val="24"/>
        </w:rPr>
        <w:t xml:space="preserve">zero, the number 0.00001 </w:t>
      </w:r>
      <w:r>
        <w:rPr>
          <w:szCs w:val="24"/>
        </w:rPr>
        <w:t xml:space="preserve">shall be deemed to be </w:t>
      </w:r>
      <w:r w:rsidR="00CB5968" w:rsidRPr="00CB5968">
        <w:rPr>
          <w:szCs w:val="24"/>
        </w:rPr>
        <w:t>the Yield Rate.</w:t>
      </w:r>
    </w:p>
    <w:p w:rsidR="007D39AB" w:rsidRDefault="00451327" w:rsidP="007D39AB">
      <w:pPr>
        <w:widowControl/>
        <w:suppressAutoHyphens/>
        <w:spacing w:after="240"/>
        <w:ind w:left="3600"/>
        <w:jc w:val="both"/>
        <w:rPr>
          <w:szCs w:val="24"/>
        </w:rPr>
      </w:pPr>
      <w:r w:rsidRPr="00F14631">
        <w:rPr>
          <w:szCs w:val="24"/>
        </w:rPr>
        <w:t xml:space="preserve">Notwithstanding any provision to the contrary, if </w:t>
      </w:r>
      <w:r>
        <w:rPr>
          <w:szCs w:val="24"/>
        </w:rPr>
        <w:t>“</w:t>
      </w:r>
      <w:r w:rsidRPr="00F14631">
        <w:rPr>
          <w:i/>
          <w:szCs w:val="24"/>
        </w:rPr>
        <w:t>z</w:t>
      </w:r>
      <w:r>
        <w:rPr>
          <w:szCs w:val="24"/>
        </w:rPr>
        <w:t>”</w:t>
      </w:r>
      <w:r w:rsidRPr="00F14631">
        <w:rPr>
          <w:szCs w:val="24"/>
        </w:rPr>
        <w:t xml:space="preserve"> equals a term reported under the </w:t>
      </w:r>
      <w:smartTag w:uri="urn:schemas-microsoft-com:office:smarttags" w:element="PlaceType">
        <w:smartTag w:uri="urn:schemas-microsoft-com:office:smarttags" w:element="PlaceName">
          <w:r w:rsidRPr="00F14631">
            <w:rPr>
              <w:szCs w:val="24"/>
            </w:rPr>
            <w:t>U.S.</w:t>
          </w:r>
        </w:smartTag>
      </w:smartTag>
      <w:r w:rsidRPr="00F14631">
        <w:rPr>
          <w:szCs w:val="24"/>
        </w:rPr>
        <w:t xml:space="preserve"> </w:t>
      </w:r>
      <w:r>
        <w:rPr>
          <w:szCs w:val="24"/>
        </w:rPr>
        <w:t>“</w:t>
      </w:r>
      <w:r w:rsidRPr="00F14631">
        <w:rPr>
          <w:szCs w:val="24"/>
        </w:rPr>
        <w:t>Treasury constant maturities</w:t>
      </w:r>
      <w:r>
        <w:rPr>
          <w:szCs w:val="24"/>
        </w:rPr>
        <w:t>”</w:t>
      </w:r>
      <w:r w:rsidRPr="00F14631">
        <w:rPr>
          <w:szCs w:val="24"/>
        </w:rPr>
        <w:t xml:space="preserve"> subheading in the Fed Release, the yield for such term shall be used, and interpolation shall not be necessary.  If publication of the Fed Release is discontinued by the Federal Reserve Board, Lender shall determine the Yield Rate from another source selected by Lender.  Any determination of the Yield Rate by Lender will be binding absent manifest error.]</w:t>
      </w:r>
    </w:p>
    <w:p w:rsidR="009444A3" w:rsidRPr="00F14631" w:rsidRDefault="009444A3" w:rsidP="007D39AB">
      <w:pPr>
        <w:widowControl/>
        <w:numPr>
          <w:ilvl w:val="1"/>
          <w:numId w:val="4"/>
        </w:numPr>
        <w:suppressAutoHyphens/>
        <w:spacing w:after="240"/>
        <w:jc w:val="both"/>
        <w:rPr>
          <w:szCs w:val="24"/>
        </w:rPr>
      </w:pPr>
      <w:r w:rsidRPr="00F14631">
        <w:rPr>
          <w:szCs w:val="24"/>
        </w:rPr>
        <w:lastRenderedPageBreak/>
        <w:t xml:space="preserve">If the prepayment is made on or after the Yield Maintenance Period End Date but before the last calendar day of the </w:t>
      </w:r>
      <w:r>
        <w:rPr>
          <w:szCs w:val="24"/>
        </w:rPr>
        <w:t>fourth</w:t>
      </w:r>
      <w:r w:rsidR="007D39AB">
        <w:rPr>
          <w:szCs w:val="24"/>
        </w:rPr>
        <w:t> </w:t>
      </w:r>
      <w:r>
        <w:rPr>
          <w:szCs w:val="24"/>
        </w:rPr>
        <w:t>(</w:t>
      </w:r>
      <w:r w:rsidRPr="00F14631">
        <w:rPr>
          <w:szCs w:val="24"/>
        </w:rPr>
        <w:t>4th</w:t>
      </w:r>
      <w:r>
        <w:rPr>
          <w:szCs w:val="24"/>
        </w:rPr>
        <w:t>)</w:t>
      </w:r>
      <w:r w:rsidRPr="00F14631">
        <w:rPr>
          <w:szCs w:val="24"/>
        </w:rPr>
        <w:t xml:space="preserve"> month prior to the month in which the Maturity Date occurs, the Prepayment Premium shall be </w:t>
      </w:r>
      <w:r>
        <w:rPr>
          <w:szCs w:val="24"/>
        </w:rPr>
        <w:t>one percent</w:t>
      </w:r>
      <w:r w:rsidR="007D39AB">
        <w:rPr>
          <w:szCs w:val="24"/>
        </w:rPr>
        <w:t> </w:t>
      </w:r>
      <w:r>
        <w:rPr>
          <w:szCs w:val="24"/>
        </w:rPr>
        <w:t>(</w:t>
      </w:r>
      <w:r w:rsidRPr="00F14631">
        <w:rPr>
          <w:szCs w:val="24"/>
        </w:rPr>
        <w:t>1%</w:t>
      </w:r>
      <w:r>
        <w:rPr>
          <w:szCs w:val="24"/>
        </w:rPr>
        <w:t>)</w:t>
      </w:r>
      <w:r w:rsidRPr="00F14631">
        <w:rPr>
          <w:szCs w:val="24"/>
        </w:rPr>
        <w:t xml:space="preserve"> of the amount of principal being prepaid.</w:t>
      </w:r>
    </w:p>
    <w:p w:rsidR="009444A3" w:rsidRDefault="009444A3" w:rsidP="0057505E">
      <w:pPr>
        <w:keepNext/>
        <w:keepLines/>
        <w:widowControl/>
        <w:numPr>
          <w:ilvl w:val="1"/>
          <w:numId w:val="4"/>
        </w:numPr>
        <w:suppressAutoHyphens/>
        <w:spacing w:after="480"/>
        <w:jc w:val="both"/>
        <w:rPr>
          <w:szCs w:val="24"/>
        </w:rPr>
      </w:pPr>
      <w:r w:rsidRPr="00F14631">
        <w:rPr>
          <w:szCs w:val="24"/>
        </w:rPr>
        <w:t xml:space="preserve">Notwithstanding the provisions of </w:t>
      </w:r>
      <w:r>
        <w:rPr>
          <w:szCs w:val="24"/>
        </w:rPr>
        <w:t>Section</w:t>
      </w:r>
      <w:r w:rsidR="007D39AB">
        <w:rPr>
          <w:szCs w:val="24"/>
        </w:rPr>
        <w:t> </w:t>
      </w:r>
      <w:r>
        <w:rPr>
          <w:szCs w:val="24"/>
        </w:rPr>
        <w:t>2.03 (Lockout/Prepayment) of the Loan Agreement</w:t>
      </w:r>
      <w:r w:rsidRPr="00F14631">
        <w:rPr>
          <w:szCs w:val="24"/>
        </w:rPr>
        <w:t xml:space="preserve">, no Prepayment Premium shall be payable with respect to any prepayment made on or after the last calendar day of the </w:t>
      </w:r>
      <w:r>
        <w:rPr>
          <w:szCs w:val="24"/>
        </w:rPr>
        <w:t>fourth</w:t>
      </w:r>
      <w:r w:rsidR="007D39AB">
        <w:rPr>
          <w:szCs w:val="24"/>
        </w:rPr>
        <w:t> </w:t>
      </w:r>
      <w:r>
        <w:rPr>
          <w:szCs w:val="24"/>
        </w:rPr>
        <w:t>(</w:t>
      </w:r>
      <w:r w:rsidRPr="00F14631">
        <w:rPr>
          <w:szCs w:val="24"/>
        </w:rPr>
        <w:t>4th</w:t>
      </w:r>
      <w:r>
        <w:rPr>
          <w:szCs w:val="24"/>
        </w:rPr>
        <w:t>)</w:t>
      </w:r>
      <w:r w:rsidRPr="00F14631">
        <w:rPr>
          <w:szCs w:val="24"/>
        </w:rPr>
        <w:t xml:space="preserve"> month prior to the month in which the Maturity Date occurs.</w:t>
      </w:r>
    </w:p>
    <w:p w:rsidR="0057505E" w:rsidRPr="0057505E" w:rsidRDefault="0057505E" w:rsidP="0057505E">
      <w:pPr>
        <w:keepNext/>
        <w:keepLines/>
        <w:widowControl/>
        <w:suppressAutoHyphens/>
        <w:spacing w:after="960"/>
        <w:jc w:val="center"/>
        <w:rPr>
          <w:b/>
          <w:szCs w:val="24"/>
        </w:rPr>
      </w:pPr>
      <w:r>
        <w:rPr>
          <w:b/>
          <w:szCs w:val="24"/>
        </w:rPr>
        <w:t>[Remainder of Page Intentionally Blank]</w:t>
      </w:r>
    </w:p>
    <w:sectPr w:rsidR="0057505E" w:rsidRPr="0057505E" w:rsidSect="001063A5">
      <w:footerReference w:type="default" r:id="rId9"/>
      <w:footerReference w:type="firs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3E6" w:rsidRDefault="00D743E6">
      <w:pPr>
        <w:spacing w:line="-20" w:lineRule="auto"/>
      </w:pPr>
    </w:p>
  </w:endnote>
  <w:endnote w:type="continuationSeparator" w:id="0">
    <w:p w:rsidR="00D743E6" w:rsidRDefault="00D743E6">
      <w:r>
        <w:t xml:space="preserve"> </w:t>
      </w:r>
    </w:p>
  </w:endnote>
  <w:endnote w:type="continuationNotice" w:id="1">
    <w:p w:rsidR="00D743E6" w:rsidRDefault="00D743E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47B" w:rsidRPr="007D39AB" w:rsidRDefault="0045647B">
    <w:pPr>
      <w:rPr>
        <w:sz w:val="20"/>
      </w:rPr>
    </w:pPr>
  </w:p>
  <w:tbl>
    <w:tblPr>
      <w:tblW w:w="9468" w:type="dxa"/>
      <w:tblLook w:val="0000" w:firstRow="0" w:lastRow="0" w:firstColumn="0" w:lastColumn="0" w:noHBand="0" w:noVBand="0"/>
    </w:tblPr>
    <w:tblGrid>
      <w:gridCol w:w="3978"/>
      <w:gridCol w:w="2520"/>
      <w:gridCol w:w="2970"/>
    </w:tblGrid>
    <w:tr w:rsidR="0045647B" w:rsidRPr="00665675" w:rsidTr="007D39AB">
      <w:tc>
        <w:tcPr>
          <w:tcW w:w="3978" w:type="dxa"/>
          <w:vAlign w:val="bottom"/>
        </w:tcPr>
        <w:p w:rsidR="0045647B" w:rsidRPr="00901FFF" w:rsidRDefault="0045647B" w:rsidP="00C608D7">
          <w:pPr>
            <w:pStyle w:val="Heading1"/>
            <w:rPr>
              <w:lang w:val="en-US" w:eastAsia="en-US"/>
            </w:rPr>
          </w:pPr>
          <w:r w:rsidRPr="00901FFF">
            <w:rPr>
              <w:lang w:val="en-US" w:eastAsia="en-US"/>
            </w:rPr>
            <w:t>Schedule 4 to Multifamily Loan and Security Agreement (Prepayment Premium Schedule – Standard Yield Maintenance – Fixed Rate)</w:t>
          </w:r>
        </w:p>
      </w:tc>
      <w:tc>
        <w:tcPr>
          <w:tcW w:w="2520" w:type="dxa"/>
          <w:vAlign w:val="bottom"/>
        </w:tcPr>
        <w:p w:rsidR="0045647B" w:rsidRPr="00665675" w:rsidRDefault="0045647B">
          <w:pPr>
            <w:jc w:val="center"/>
            <w:rPr>
              <w:sz w:val="20"/>
            </w:rPr>
          </w:pPr>
          <w:r w:rsidRPr="00665675">
            <w:rPr>
              <w:b/>
              <w:sz w:val="20"/>
            </w:rPr>
            <w:t>Form 6104</w:t>
          </w:r>
          <w:r>
            <w:rPr>
              <w:b/>
              <w:sz w:val="20"/>
            </w:rPr>
            <w:t>.01</w:t>
          </w:r>
        </w:p>
      </w:tc>
      <w:tc>
        <w:tcPr>
          <w:tcW w:w="2970" w:type="dxa"/>
          <w:vAlign w:val="bottom"/>
        </w:tcPr>
        <w:p w:rsidR="0045647B" w:rsidRPr="00665675" w:rsidRDefault="0045647B">
          <w:pPr>
            <w:jc w:val="right"/>
            <w:rPr>
              <w:sz w:val="20"/>
            </w:rPr>
          </w:pPr>
          <w:r w:rsidRPr="00665675">
            <w:rPr>
              <w:b/>
              <w:sz w:val="20"/>
            </w:rPr>
            <w:t xml:space="preserve">Page </w:t>
          </w:r>
          <w:r w:rsidR="002A13DD" w:rsidRPr="00665675">
            <w:rPr>
              <w:rStyle w:val="PageNumber"/>
              <w:b/>
              <w:sz w:val="20"/>
            </w:rPr>
            <w:fldChar w:fldCharType="begin"/>
          </w:r>
          <w:r w:rsidRPr="00665675">
            <w:rPr>
              <w:rStyle w:val="PageNumber"/>
              <w:b/>
              <w:sz w:val="20"/>
            </w:rPr>
            <w:instrText xml:space="preserve"> PAGE </w:instrText>
          </w:r>
          <w:r w:rsidR="002A13DD" w:rsidRPr="00665675">
            <w:rPr>
              <w:rStyle w:val="PageNumber"/>
              <w:b/>
              <w:sz w:val="20"/>
            </w:rPr>
            <w:fldChar w:fldCharType="separate"/>
          </w:r>
          <w:r w:rsidR="00B84A50">
            <w:rPr>
              <w:rStyle w:val="PageNumber"/>
              <w:b/>
              <w:noProof/>
              <w:sz w:val="20"/>
            </w:rPr>
            <w:t>2</w:t>
          </w:r>
          <w:r w:rsidR="002A13DD" w:rsidRPr="00665675">
            <w:rPr>
              <w:rStyle w:val="PageNumber"/>
              <w:b/>
              <w:sz w:val="20"/>
            </w:rPr>
            <w:fldChar w:fldCharType="end"/>
          </w:r>
        </w:p>
      </w:tc>
    </w:tr>
    <w:tr w:rsidR="0045647B" w:rsidRPr="00665675" w:rsidTr="007D39AB">
      <w:tc>
        <w:tcPr>
          <w:tcW w:w="3978" w:type="dxa"/>
          <w:vAlign w:val="bottom"/>
        </w:tcPr>
        <w:p w:rsidR="0045647B" w:rsidRPr="00901FFF" w:rsidRDefault="0045647B">
          <w:pPr>
            <w:pStyle w:val="Heading1"/>
            <w:rPr>
              <w:lang w:val="en-US" w:eastAsia="en-US"/>
            </w:rPr>
          </w:pPr>
          <w:r w:rsidRPr="00901FFF">
            <w:rPr>
              <w:lang w:val="en-US" w:eastAsia="en-US"/>
            </w:rPr>
            <w:t>Fannie Mae</w:t>
          </w:r>
        </w:p>
      </w:tc>
      <w:tc>
        <w:tcPr>
          <w:tcW w:w="2520" w:type="dxa"/>
          <w:vAlign w:val="bottom"/>
        </w:tcPr>
        <w:p w:rsidR="0045647B" w:rsidRPr="00665675" w:rsidRDefault="00CB5968" w:rsidP="001063A5">
          <w:pPr>
            <w:jc w:val="center"/>
            <w:rPr>
              <w:sz w:val="20"/>
            </w:rPr>
          </w:pPr>
          <w:r>
            <w:rPr>
              <w:b/>
              <w:sz w:val="20"/>
            </w:rPr>
            <w:t>05-20</w:t>
          </w:r>
        </w:p>
      </w:tc>
      <w:tc>
        <w:tcPr>
          <w:tcW w:w="2970" w:type="dxa"/>
          <w:vAlign w:val="bottom"/>
        </w:tcPr>
        <w:p w:rsidR="0045647B" w:rsidRPr="00665675" w:rsidRDefault="0045647B" w:rsidP="001063A5">
          <w:pPr>
            <w:jc w:val="right"/>
            <w:rPr>
              <w:sz w:val="20"/>
            </w:rPr>
          </w:pPr>
          <w:r w:rsidRPr="00665675">
            <w:rPr>
              <w:b/>
              <w:sz w:val="20"/>
            </w:rPr>
            <w:t>© 20</w:t>
          </w:r>
          <w:r w:rsidR="00CB5968">
            <w:rPr>
              <w:b/>
              <w:sz w:val="20"/>
            </w:rPr>
            <w:t>20</w:t>
          </w:r>
          <w:r w:rsidRPr="00665675">
            <w:rPr>
              <w:b/>
              <w:sz w:val="20"/>
            </w:rPr>
            <w:t xml:space="preserve"> Fannie Mae</w:t>
          </w:r>
        </w:p>
      </w:tc>
    </w:tr>
  </w:tbl>
  <w:p w:rsidR="0045647B" w:rsidRPr="00665675" w:rsidRDefault="0045647B">
    <w:pPr>
      <w:spacing w:before="140" w:line="-100"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968" w:rsidRPr="007D39AB" w:rsidRDefault="00CB5968" w:rsidP="00CB5968">
    <w:pPr>
      <w:rPr>
        <w:sz w:val="20"/>
      </w:rPr>
    </w:pPr>
  </w:p>
  <w:tbl>
    <w:tblPr>
      <w:tblW w:w="9468" w:type="dxa"/>
      <w:tblLook w:val="0000" w:firstRow="0" w:lastRow="0" w:firstColumn="0" w:lastColumn="0" w:noHBand="0" w:noVBand="0"/>
    </w:tblPr>
    <w:tblGrid>
      <w:gridCol w:w="3978"/>
      <w:gridCol w:w="2520"/>
      <w:gridCol w:w="2970"/>
    </w:tblGrid>
    <w:tr w:rsidR="00CB5968" w:rsidRPr="00665675" w:rsidTr="00CC7344">
      <w:tc>
        <w:tcPr>
          <w:tcW w:w="3978" w:type="dxa"/>
          <w:vAlign w:val="bottom"/>
        </w:tcPr>
        <w:p w:rsidR="00CB5968" w:rsidRPr="00901FFF" w:rsidRDefault="00CB5968" w:rsidP="00CB5968">
          <w:pPr>
            <w:pStyle w:val="Heading1"/>
            <w:rPr>
              <w:lang w:val="en-US" w:eastAsia="en-US"/>
            </w:rPr>
          </w:pPr>
          <w:r w:rsidRPr="00901FFF">
            <w:rPr>
              <w:lang w:val="en-US" w:eastAsia="en-US"/>
            </w:rPr>
            <w:t>Schedule 4 to Multifamily Loan and Security Agreement (Prepayment Premium Schedule – Standard Yield Maintenance – Fixed Rate)</w:t>
          </w:r>
        </w:p>
      </w:tc>
      <w:tc>
        <w:tcPr>
          <w:tcW w:w="2520" w:type="dxa"/>
          <w:vAlign w:val="bottom"/>
        </w:tcPr>
        <w:p w:rsidR="00CB5968" w:rsidRPr="00665675" w:rsidRDefault="00CB5968" w:rsidP="00CB5968">
          <w:pPr>
            <w:jc w:val="center"/>
            <w:rPr>
              <w:sz w:val="20"/>
            </w:rPr>
          </w:pPr>
          <w:r w:rsidRPr="00665675">
            <w:rPr>
              <w:b/>
              <w:sz w:val="20"/>
            </w:rPr>
            <w:t>Form 6104</w:t>
          </w:r>
          <w:r>
            <w:rPr>
              <w:b/>
              <w:sz w:val="20"/>
            </w:rPr>
            <w:t>.01</w:t>
          </w:r>
        </w:p>
      </w:tc>
      <w:tc>
        <w:tcPr>
          <w:tcW w:w="2970" w:type="dxa"/>
          <w:vAlign w:val="bottom"/>
        </w:tcPr>
        <w:p w:rsidR="00CB5968" w:rsidRPr="00665675" w:rsidRDefault="00CB5968" w:rsidP="00CB5968">
          <w:pPr>
            <w:jc w:val="right"/>
            <w:rPr>
              <w:sz w:val="20"/>
            </w:rPr>
          </w:pPr>
          <w:r w:rsidRPr="00665675">
            <w:rPr>
              <w:b/>
              <w:sz w:val="20"/>
            </w:rPr>
            <w:t xml:space="preserve">Page </w:t>
          </w:r>
          <w:r w:rsidRPr="00665675">
            <w:rPr>
              <w:rStyle w:val="PageNumber"/>
              <w:b/>
              <w:sz w:val="20"/>
            </w:rPr>
            <w:fldChar w:fldCharType="begin"/>
          </w:r>
          <w:r w:rsidRPr="00665675">
            <w:rPr>
              <w:rStyle w:val="PageNumber"/>
              <w:b/>
              <w:sz w:val="20"/>
            </w:rPr>
            <w:instrText xml:space="preserve"> PAGE </w:instrText>
          </w:r>
          <w:r w:rsidRPr="00665675">
            <w:rPr>
              <w:rStyle w:val="PageNumber"/>
              <w:b/>
              <w:sz w:val="20"/>
            </w:rPr>
            <w:fldChar w:fldCharType="separate"/>
          </w:r>
          <w:r>
            <w:rPr>
              <w:rStyle w:val="PageNumber"/>
              <w:b/>
              <w:sz w:val="20"/>
            </w:rPr>
            <w:t>2</w:t>
          </w:r>
          <w:r w:rsidRPr="00665675">
            <w:rPr>
              <w:rStyle w:val="PageNumber"/>
              <w:b/>
              <w:sz w:val="20"/>
            </w:rPr>
            <w:fldChar w:fldCharType="end"/>
          </w:r>
        </w:p>
      </w:tc>
    </w:tr>
    <w:tr w:rsidR="00CB5968" w:rsidRPr="00665675" w:rsidTr="00CC7344">
      <w:tc>
        <w:tcPr>
          <w:tcW w:w="3978" w:type="dxa"/>
          <w:vAlign w:val="bottom"/>
        </w:tcPr>
        <w:p w:rsidR="00CB5968" w:rsidRPr="00901FFF" w:rsidRDefault="00CB5968" w:rsidP="00CB5968">
          <w:pPr>
            <w:pStyle w:val="Heading1"/>
            <w:rPr>
              <w:lang w:val="en-US" w:eastAsia="en-US"/>
            </w:rPr>
          </w:pPr>
          <w:r w:rsidRPr="00901FFF">
            <w:rPr>
              <w:lang w:val="en-US" w:eastAsia="en-US"/>
            </w:rPr>
            <w:t>Fannie Mae</w:t>
          </w:r>
        </w:p>
      </w:tc>
      <w:tc>
        <w:tcPr>
          <w:tcW w:w="2520" w:type="dxa"/>
          <w:vAlign w:val="bottom"/>
        </w:tcPr>
        <w:p w:rsidR="00CB5968" w:rsidRPr="00665675" w:rsidRDefault="00CB5968" w:rsidP="00CB5968">
          <w:pPr>
            <w:jc w:val="center"/>
            <w:rPr>
              <w:sz w:val="20"/>
            </w:rPr>
          </w:pPr>
          <w:r>
            <w:rPr>
              <w:b/>
              <w:sz w:val="20"/>
            </w:rPr>
            <w:t>05-20</w:t>
          </w:r>
        </w:p>
      </w:tc>
      <w:tc>
        <w:tcPr>
          <w:tcW w:w="2970" w:type="dxa"/>
          <w:vAlign w:val="bottom"/>
        </w:tcPr>
        <w:p w:rsidR="00CB5968" w:rsidRPr="00665675" w:rsidRDefault="00CB5968" w:rsidP="00CB5968">
          <w:pPr>
            <w:jc w:val="right"/>
            <w:rPr>
              <w:sz w:val="20"/>
            </w:rPr>
          </w:pPr>
          <w:r w:rsidRPr="00665675">
            <w:rPr>
              <w:b/>
              <w:sz w:val="20"/>
            </w:rPr>
            <w:t>© 20</w:t>
          </w:r>
          <w:r>
            <w:rPr>
              <w:b/>
              <w:sz w:val="20"/>
            </w:rPr>
            <w:t>20</w:t>
          </w:r>
          <w:r w:rsidRPr="00665675">
            <w:rPr>
              <w:b/>
              <w:sz w:val="20"/>
            </w:rPr>
            <w:t xml:space="preserve"> Fannie Mae</w:t>
          </w:r>
        </w:p>
      </w:tc>
    </w:tr>
  </w:tbl>
  <w:p w:rsidR="00CB5968" w:rsidRPr="00665675" w:rsidRDefault="00CB5968" w:rsidP="00CB5968">
    <w:pPr>
      <w:spacing w:before="140" w:line="-100"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3E6" w:rsidRDefault="00D743E6">
      <w:r>
        <w:separator/>
      </w:r>
    </w:p>
  </w:footnote>
  <w:footnote w:type="continuationSeparator" w:id="0">
    <w:p w:rsidR="00D743E6" w:rsidRDefault="00D74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7CF7959"/>
    <w:multiLevelType w:val="multilevel"/>
    <w:tmpl w:val="AD38AE18"/>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2" w15:restartNumberingAfterBreak="0">
    <w:nsid w:val="36CF5E38"/>
    <w:multiLevelType w:val="multilevel"/>
    <w:tmpl w:val="A7A287B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3" w15:restartNumberingAfterBreak="0">
    <w:nsid w:val="3E976F76"/>
    <w:multiLevelType w:val="hybridMultilevel"/>
    <w:tmpl w:val="55922DDA"/>
    <w:lvl w:ilvl="0" w:tplc="17E88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BFD39C7"/>
    <w:multiLevelType w:val="multilevel"/>
    <w:tmpl w:val="AD38AE18"/>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6AF20957"/>
    <w:multiLevelType w:val="hybridMultilevel"/>
    <w:tmpl w:val="CDCA3800"/>
    <w:lvl w:ilvl="0" w:tplc="87A40716">
      <w:start w:val="1"/>
      <w:numFmt w:val="lowerRoman"/>
      <w:lvlText w:val="(%1)"/>
      <w:lvlJc w:val="left"/>
      <w:pPr>
        <w:tabs>
          <w:tab w:val="num" w:pos="2160"/>
        </w:tabs>
        <w:ind w:left="2160" w:hanging="720"/>
      </w:pPr>
      <w:rPr>
        <w:rFonts w:hint="default"/>
      </w:rPr>
    </w:lvl>
    <w:lvl w:ilvl="1" w:tplc="A520260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754F2647"/>
    <w:multiLevelType w:val="multilevel"/>
    <w:tmpl w:val="9F68CA7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7A636E50"/>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abstractNumId w:val="5"/>
  </w:num>
  <w:num w:numId="2">
    <w:abstractNumId w:val="0"/>
  </w:num>
  <w:num w:numId="3">
    <w:abstractNumId w:val="3"/>
  </w:num>
  <w:num w:numId="4">
    <w:abstractNumId w:val="1"/>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BC"/>
    <w:rsid w:val="00033465"/>
    <w:rsid w:val="00063577"/>
    <w:rsid w:val="00085603"/>
    <w:rsid w:val="000E7D81"/>
    <w:rsid w:val="001063A5"/>
    <w:rsid w:val="00117592"/>
    <w:rsid w:val="00131451"/>
    <w:rsid w:val="00150A0D"/>
    <w:rsid w:val="001D1BA3"/>
    <w:rsid w:val="001E7AD2"/>
    <w:rsid w:val="00264FCF"/>
    <w:rsid w:val="00265C11"/>
    <w:rsid w:val="002A13DD"/>
    <w:rsid w:val="00330FF7"/>
    <w:rsid w:val="003C09EF"/>
    <w:rsid w:val="003C147A"/>
    <w:rsid w:val="00404693"/>
    <w:rsid w:val="0042570A"/>
    <w:rsid w:val="00451327"/>
    <w:rsid w:val="0045647B"/>
    <w:rsid w:val="00466988"/>
    <w:rsid w:val="0047701D"/>
    <w:rsid w:val="0048613D"/>
    <w:rsid w:val="0049779D"/>
    <w:rsid w:val="004C74C9"/>
    <w:rsid w:val="004E0916"/>
    <w:rsid w:val="004E6FF6"/>
    <w:rsid w:val="0057505E"/>
    <w:rsid w:val="00603800"/>
    <w:rsid w:val="00665675"/>
    <w:rsid w:val="006912DA"/>
    <w:rsid w:val="006B499D"/>
    <w:rsid w:val="00724033"/>
    <w:rsid w:val="0076432C"/>
    <w:rsid w:val="00785FB1"/>
    <w:rsid w:val="007D39AB"/>
    <w:rsid w:val="00866EA0"/>
    <w:rsid w:val="008C4941"/>
    <w:rsid w:val="008E71B0"/>
    <w:rsid w:val="00901FFF"/>
    <w:rsid w:val="009444A3"/>
    <w:rsid w:val="0095319B"/>
    <w:rsid w:val="00995C3F"/>
    <w:rsid w:val="009B5793"/>
    <w:rsid w:val="009D5282"/>
    <w:rsid w:val="009F41BC"/>
    <w:rsid w:val="00A4169F"/>
    <w:rsid w:val="00A466B3"/>
    <w:rsid w:val="00A91D86"/>
    <w:rsid w:val="00B60EFF"/>
    <w:rsid w:val="00B6597E"/>
    <w:rsid w:val="00B71111"/>
    <w:rsid w:val="00B836A6"/>
    <w:rsid w:val="00B84A50"/>
    <w:rsid w:val="00BC5308"/>
    <w:rsid w:val="00BE75A0"/>
    <w:rsid w:val="00C31CED"/>
    <w:rsid w:val="00C36C3A"/>
    <w:rsid w:val="00C608D7"/>
    <w:rsid w:val="00C7645A"/>
    <w:rsid w:val="00CB5968"/>
    <w:rsid w:val="00CC7344"/>
    <w:rsid w:val="00CE7A57"/>
    <w:rsid w:val="00D058E6"/>
    <w:rsid w:val="00D743E6"/>
    <w:rsid w:val="00D86E38"/>
    <w:rsid w:val="00E9419D"/>
    <w:rsid w:val="00EC0FE4"/>
    <w:rsid w:val="00F23407"/>
    <w:rsid w:val="00F67FF7"/>
    <w:rsid w:val="00FE281C"/>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3A5"/>
    <w:pPr>
      <w:widowControl w:val="0"/>
    </w:pPr>
    <w:rPr>
      <w:sz w:val="24"/>
    </w:rPr>
  </w:style>
  <w:style w:type="paragraph" w:styleId="Heading1">
    <w:name w:val="heading 1"/>
    <w:basedOn w:val="Normal"/>
    <w:next w:val="Normal"/>
    <w:link w:val="Heading1Char"/>
    <w:qFormat/>
    <w:rsid w:val="002A13DD"/>
    <w:pPr>
      <w:keepNext/>
      <w:tabs>
        <w:tab w:val="left" w:pos="6120"/>
        <w:tab w:val="left" w:pos="7560"/>
        <w:tab w:val="right" w:pos="9360"/>
      </w:tabs>
      <w:suppressAutoHyphens/>
      <w:outlineLvl w:val="0"/>
    </w:pPr>
    <w:rPr>
      <w:b/>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A13DD"/>
  </w:style>
  <w:style w:type="character" w:styleId="EndnoteReference">
    <w:name w:val="endnote reference"/>
    <w:semiHidden/>
    <w:rsid w:val="002A13DD"/>
    <w:rPr>
      <w:vertAlign w:val="superscript"/>
    </w:rPr>
  </w:style>
  <w:style w:type="paragraph" w:styleId="FootnoteText">
    <w:name w:val="footnote text"/>
    <w:basedOn w:val="Normal"/>
    <w:semiHidden/>
    <w:rsid w:val="002A13DD"/>
  </w:style>
  <w:style w:type="character" w:styleId="FootnoteReference">
    <w:name w:val="footnote reference"/>
    <w:semiHidden/>
    <w:rsid w:val="002A13DD"/>
    <w:rPr>
      <w:vertAlign w:val="superscript"/>
    </w:rPr>
  </w:style>
  <w:style w:type="paragraph" w:styleId="TOC1">
    <w:name w:val="toc 1"/>
    <w:basedOn w:val="Normal"/>
    <w:next w:val="Normal"/>
    <w:semiHidden/>
    <w:rsid w:val="002A13DD"/>
    <w:pPr>
      <w:tabs>
        <w:tab w:val="right" w:leader="dot" w:pos="9360"/>
      </w:tabs>
      <w:suppressAutoHyphens/>
      <w:spacing w:before="480"/>
      <w:ind w:left="720" w:right="720" w:hanging="720"/>
    </w:pPr>
  </w:style>
  <w:style w:type="paragraph" w:styleId="TOC2">
    <w:name w:val="toc 2"/>
    <w:basedOn w:val="Normal"/>
    <w:next w:val="Normal"/>
    <w:semiHidden/>
    <w:rsid w:val="002A13DD"/>
    <w:pPr>
      <w:tabs>
        <w:tab w:val="right" w:leader="dot" w:pos="9360"/>
      </w:tabs>
      <w:suppressAutoHyphens/>
      <w:ind w:left="1440" w:right="720" w:hanging="720"/>
    </w:pPr>
  </w:style>
  <w:style w:type="paragraph" w:styleId="TOC3">
    <w:name w:val="toc 3"/>
    <w:basedOn w:val="Normal"/>
    <w:next w:val="Normal"/>
    <w:semiHidden/>
    <w:rsid w:val="002A13DD"/>
    <w:pPr>
      <w:tabs>
        <w:tab w:val="right" w:leader="dot" w:pos="9360"/>
      </w:tabs>
      <w:suppressAutoHyphens/>
      <w:ind w:left="2160" w:right="720" w:hanging="720"/>
    </w:pPr>
  </w:style>
  <w:style w:type="paragraph" w:styleId="TOC4">
    <w:name w:val="toc 4"/>
    <w:basedOn w:val="Normal"/>
    <w:next w:val="Normal"/>
    <w:semiHidden/>
    <w:rsid w:val="002A13DD"/>
    <w:pPr>
      <w:tabs>
        <w:tab w:val="right" w:leader="dot" w:pos="9360"/>
      </w:tabs>
      <w:suppressAutoHyphens/>
      <w:ind w:left="2880" w:right="720" w:hanging="720"/>
    </w:pPr>
  </w:style>
  <w:style w:type="paragraph" w:styleId="TOC5">
    <w:name w:val="toc 5"/>
    <w:basedOn w:val="Normal"/>
    <w:next w:val="Normal"/>
    <w:semiHidden/>
    <w:rsid w:val="002A13DD"/>
    <w:pPr>
      <w:tabs>
        <w:tab w:val="right" w:leader="dot" w:pos="9360"/>
      </w:tabs>
      <w:suppressAutoHyphens/>
      <w:ind w:left="3600" w:right="720" w:hanging="720"/>
    </w:pPr>
  </w:style>
  <w:style w:type="paragraph" w:styleId="TOC6">
    <w:name w:val="toc 6"/>
    <w:basedOn w:val="Normal"/>
    <w:next w:val="Normal"/>
    <w:semiHidden/>
    <w:rsid w:val="002A13DD"/>
    <w:pPr>
      <w:tabs>
        <w:tab w:val="right" w:pos="9360"/>
      </w:tabs>
      <w:suppressAutoHyphens/>
      <w:ind w:left="720" w:hanging="720"/>
    </w:pPr>
  </w:style>
  <w:style w:type="paragraph" w:styleId="TOC7">
    <w:name w:val="toc 7"/>
    <w:basedOn w:val="Normal"/>
    <w:next w:val="Normal"/>
    <w:semiHidden/>
    <w:rsid w:val="002A13DD"/>
    <w:pPr>
      <w:suppressAutoHyphens/>
      <w:ind w:left="720" w:hanging="720"/>
    </w:pPr>
  </w:style>
  <w:style w:type="paragraph" w:styleId="TOC8">
    <w:name w:val="toc 8"/>
    <w:basedOn w:val="Normal"/>
    <w:next w:val="Normal"/>
    <w:semiHidden/>
    <w:rsid w:val="002A13DD"/>
    <w:pPr>
      <w:tabs>
        <w:tab w:val="right" w:pos="9360"/>
      </w:tabs>
      <w:suppressAutoHyphens/>
      <w:ind w:left="720" w:hanging="720"/>
    </w:pPr>
  </w:style>
  <w:style w:type="paragraph" w:styleId="TOC9">
    <w:name w:val="toc 9"/>
    <w:basedOn w:val="Normal"/>
    <w:next w:val="Normal"/>
    <w:semiHidden/>
    <w:rsid w:val="002A13DD"/>
    <w:pPr>
      <w:tabs>
        <w:tab w:val="right" w:leader="dot" w:pos="9360"/>
      </w:tabs>
      <w:suppressAutoHyphens/>
      <w:ind w:left="720" w:hanging="720"/>
    </w:pPr>
  </w:style>
  <w:style w:type="paragraph" w:styleId="Index1">
    <w:name w:val="index 1"/>
    <w:basedOn w:val="Normal"/>
    <w:next w:val="Normal"/>
    <w:semiHidden/>
    <w:rsid w:val="002A13DD"/>
    <w:pPr>
      <w:tabs>
        <w:tab w:val="right" w:leader="dot" w:pos="9360"/>
      </w:tabs>
      <w:suppressAutoHyphens/>
      <w:ind w:left="1440" w:right="720" w:hanging="1440"/>
    </w:pPr>
  </w:style>
  <w:style w:type="paragraph" w:styleId="Index2">
    <w:name w:val="index 2"/>
    <w:basedOn w:val="Normal"/>
    <w:next w:val="Normal"/>
    <w:semiHidden/>
    <w:rsid w:val="002A13DD"/>
    <w:pPr>
      <w:tabs>
        <w:tab w:val="right" w:leader="dot" w:pos="9360"/>
      </w:tabs>
      <w:suppressAutoHyphens/>
      <w:ind w:left="1440" w:right="720" w:hanging="720"/>
    </w:pPr>
  </w:style>
  <w:style w:type="paragraph" w:styleId="TOAHeading">
    <w:name w:val="toa heading"/>
    <w:basedOn w:val="Normal"/>
    <w:next w:val="Normal"/>
    <w:semiHidden/>
    <w:rsid w:val="002A13DD"/>
    <w:pPr>
      <w:tabs>
        <w:tab w:val="right" w:pos="9360"/>
      </w:tabs>
      <w:suppressAutoHyphens/>
    </w:pPr>
  </w:style>
  <w:style w:type="paragraph" w:styleId="Caption">
    <w:name w:val="caption"/>
    <w:basedOn w:val="Normal"/>
    <w:next w:val="Normal"/>
    <w:qFormat/>
    <w:rsid w:val="002A13DD"/>
  </w:style>
  <w:style w:type="character" w:customStyle="1" w:styleId="EquationCaption">
    <w:name w:val="_Equation Caption"/>
    <w:rsid w:val="002A13DD"/>
  </w:style>
  <w:style w:type="paragraph" w:styleId="Footer">
    <w:name w:val="footer"/>
    <w:basedOn w:val="Normal"/>
    <w:rsid w:val="002A13DD"/>
    <w:pPr>
      <w:tabs>
        <w:tab w:val="center" w:pos="4320"/>
        <w:tab w:val="right" w:pos="8640"/>
      </w:tabs>
    </w:pPr>
  </w:style>
  <w:style w:type="paragraph" w:styleId="Header">
    <w:name w:val="header"/>
    <w:basedOn w:val="Normal"/>
    <w:link w:val="HeaderChar"/>
    <w:rsid w:val="002A13DD"/>
    <w:pPr>
      <w:tabs>
        <w:tab w:val="center" w:pos="4320"/>
        <w:tab w:val="right" w:pos="8640"/>
      </w:tabs>
    </w:pPr>
    <w:rPr>
      <w:lang w:val="x-none" w:eastAsia="x-none"/>
    </w:rPr>
  </w:style>
  <w:style w:type="paragraph" w:styleId="BodyTextIndent">
    <w:name w:val="Body Text Indent"/>
    <w:basedOn w:val="Normal"/>
    <w:rsid w:val="002A13DD"/>
    <w:pPr>
      <w:widowControl/>
      <w:suppressAutoHyphens/>
      <w:ind w:left="1440" w:hanging="720"/>
    </w:pPr>
    <w:rPr>
      <w:szCs w:val="24"/>
      <w:lang w:bidi="he-IL"/>
    </w:rPr>
  </w:style>
  <w:style w:type="character" w:styleId="PageNumber">
    <w:name w:val="page number"/>
    <w:basedOn w:val="DefaultParagraphFont"/>
    <w:rsid w:val="002A13DD"/>
  </w:style>
  <w:style w:type="paragraph" w:styleId="Title">
    <w:name w:val="Title"/>
    <w:basedOn w:val="Normal"/>
    <w:qFormat/>
    <w:rsid w:val="002A13DD"/>
    <w:pPr>
      <w:suppressAutoHyphens/>
      <w:jc w:val="center"/>
    </w:pPr>
    <w:rPr>
      <w:b/>
    </w:rPr>
  </w:style>
  <w:style w:type="paragraph" w:styleId="ListNumber">
    <w:name w:val="List Number"/>
    <w:basedOn w:val="Normal"/>
    <w:rsid w:val="004E0916"/>
    <w:pPr>
      <w:widowControl/>
      <w:tabs>
        <w:tab w:val="left" w:pos="-720"/>
      </w:tabs>
      <w:suppressAutoHyphens/>
      <w:jc w:val="both"/>
    </w:pPr>
    <w:rPr>
      <w:sz w:val="22"/>
      <w:lang w:bidi="he-IL"/>
    </w:rPr>
  </w:style>
  <w:style w:type="character" w:customStyle="1" w:styleId="HeaderChar">
    <w:name w:val="Header Char"/>
    <w:link w:val="Header"/>
    <w:rsid w:val="001063A5"/>
    <w:rPr>
      <w:sz w:val="24"/>
    </w:rPr>
  </w:style>
  <w:style w:type="character" w:customStyle="1" w:styleId="Heading1Char">
    <w:name w:val="Heading 1 Char"/>
    <w:link w:val="Heading1"/>
    <w:rsid w:val="001063A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8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588</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6104.01</vt:lpstr>
    </vt:vector>
  </TitlesOfParts>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6104.01</dc:title>
  <dc:subject>Schedule 4 to Loan Agreement - Prepayment Premium Schedule (Standard Yield Maintenance)</dc:subject>
  <dc:creator/>
  <cp:keywords/>
  <cp:lastModifiedBy/>
  <cp:revision>1</cp:revision>
  <dcterms:created xsi:type="dcterms:W3CDTF">2020-05-08T16:41:00Z</dcterms:created>
  <dcterms:modified xsi:type="dcterms:W3CDTF">2020-05-08T16:41:00Z</dcterms:modified>
</cp:coreProperties>
</file>