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AE21" w14:textId="77777777" w:rsidR="008738A7" w:rsidRDefault="00581DA9" w:rsidP="00581DA9">
      <w:pPr>
        <w:suppressAutoHyphens/>
        <w:jc w:val="center"/>
        <w:rPr>
          <w:b/>
          <w:sz w:val="24"/>
          <w:szCs w:val="24"/>
        </w:rPr>
      </w:pPr>
      <w:bookmarkStart w:id="0" w:name="_GoBack"/>
      <w:bookmarkEnd w:id="0"/>
      <w:r w:rsidRPr="00E43A27">
        <w:rPr>
          <w:b/>
          <w:sz w:val="24"/>
          <w:szCs w:val="24"/>
        </w:rPr>
        <w:t>SCHEDULE 3</w:t>
      </w:r>
    </w:p>
    <w:p w14:paraId="26AE220C" w14:textId="77777777" w:rsidR="00F22715" w:rsidRPr="00A35920" w:rsidRDefault="00F22715" w:rsidP="008738A7">
      <w:pPr>
        <w:spacing w:after="240"/>
        <w:jc w:val="center"/>
        <w:rPr>
          <w:b/>
          <w:sz w:val="24"/>
          <w:szCs w:val="24"/>
          <w:u w:val="single"/>
        </w:rPr>
      </w:pPr>
      <w:r w:rsidRPr="00A35920">
        <w:rPr>
          <w:b/>
          <w:sz w:val="24"/>
          <w:szCs w:val="24"/>
          <w:u w:val="single"/>
        </w:rPr>
        <w:t>TO MULTIFAMILY LOAN AND SECURITY AGREEMENT</w:t>
      </w:r>
    </w:p>
    <w:p w14:paraId="015CFC28" w14:textId="77777777" w:rsidR="00581DA9" w:rsidRPr="00FD1C0D" w:rsidRDefault="00581DA9" w:rsidP="00581DA9">
      <w:pPr>
        <w:suppressAutoHyphens/>
        <w:jc w:val="center"/>
        <w:rPr>
          <w:b/>
          <w:sz w:val="24"/>
          <w:szCs w:val="24"/>
        </w:rPr>
      </w:pPr>
      <w:r w:rsidRPr="00FD1C0D">
        <w:rPr>
          <w:b/>
          <w:sz w:val="24"/>
          <w:szCs w:val="24"/>
        </w:rPr>
        <w:t>Schedule of Interest Rate Type Provisions</w:t>
      </w:r>
    </w:p>
    <w:p w14:paraId="67423D2E" w14:textId="77777777" w:rsidR="00581DA9" w:rsidRPr="00E43A27" w:rsidRDefault="00581DA9" w:rsidP="008738A7">
      <w:pPr>
        <w:suppressAutoHyphens/>
        <w:spacing w:after="360"/>
        <w:jc w:val="center"/>
        <w:rPr>
          <w:sz w:val="24"/>
          <w:szCs w:val="24"/>
        </w:rPr>
      </w:pPr>
      <w:r w:rsidRPr="00E43A27">
        <w:rPr>
          <w:b/>
          <w:sz w:val="24"/>
          <w:szCs w:val="24"/>
        </w:rPr>
        <w:t>(Hybrid ARM</w:t>
      </w:r>
      <w:r w:rsidR="00781731">
        <w:rPr>
          <w:b/>
          <w:sz w:val="24"/>
          <w:szCs w:val="24"/>
        </w:rPr>
        <w:t xml:space="preserve"> (SOFR)</w:t>
      </w:r>
      <w:r w:rsidRPr="00E43A27">
        <w:rPr>
          <w:b/>
          <w:sz w:val="24"/>
          <w:szCs w:val="24"/>
        </w:rPr>
        <w:t>)</w:t>
      </w:r>
    </w:p>
    <w:p w14:paraId="733205D2" w14:textId="77777777" w:rsidR="008738A7" w:rsidRDefault="005151ED" w:rsidP="008738A7">
      <w:pPr>
        <w:pStyle w:val="ListNumber"/>
        <w:keepNext/>
        <w:numPr>
          <w:ilvl w:val="0"/>
          <w:numId w:val="11"/>
        </w:numPr>
        <w:spacing w:after="240"/>
        <w:rPr>
          <w:sz w:val="24"/>
          <w:szCs w:val="24"/>
        </w:rPr>
      </w:pPr>
      <w:r w:rsidRPr="00C10215">
        <w:rPr>
          <w:b/>
          <w:bCs/>
          <w:sz w:val="24"/>
          <w:szCs w:val="24"/>
        </w:rPr>
        <w:t>Defined Terms.</w:t>
      </w:r>
    </w:p>
    <w:p w14:paraId="6116351C" w14:textId="77777777" w:rsidR="005151ED" w:rsidRPr="007160E5" w:rsidRDefault="005151ED" w:rsidP="008738A7">
      <w:pPr>
        <w:pStyle w:val="ListNumber"/>
        <w:tabs>
          <w:tab w:val="clear" w:pos="-720"/>
        </w:tabs>
        <w:spacing w:after="240"/>
        <w:ind w:firstLine="720"/>
        <w:rPr>
          <w:sz w:val="24"/>
          <w:szCs w:val="24"/>
        </w:rPr>
      </w:pPr>
      <w:r w:rsidRPr="007160E5">
        <w:rPr>
          <w:sz w:val="24"/>
          <w:szCs w:val="24"/>
        </w:rPr>
        <w:t xml:space="preserve">Capitalized terms not otherwise defined in this Schedule have the meanings given to such terms in </w:t>
      </w:r>
      <w:r w:rsidR="00696894">
        <w:rPr>
          <w:sz w:val="24"/>
          <w:szCs w:val="24"/>
        </w:rPr>
        <w:t xml:space="preserve">the </w:t>
      </w:r>
      <w:r w:rsidRPr="007160E5">
        <w:rPr>
          <w:sz w:val="24"/>
          <w:szCs w:val="24"/>
        </w:rPr>
        <w:t>Definitions Schedule</w:t>
      </w:r>
      <w:r>
        <w:rPr>
          <w:sz w:val="24"/>
          <w:szCs w:val="24"/>
        </w:rPr>
        <w:t xml:space="preserve"> </w:t>
      </w:r>
      <w:r w:rsidRPr="007160E5">
        <w:rPr>
          <w:sz w:val="24"/>
          <w:szCs w:val="24"/>
        </w:rPr>
        <w:t>to the Loan Agreement.</w:t>
      </w:r>
    </w:p>
    <w:p w14:paraId="2C005BB3" w14:textId="77777777" w:rsidR="008738A7" w:rsidRDefault="00581DA9" w:rsidP="008738A7">
      <w:pPr>
        <w:keepNext/>
        <w:numPr>
          <w:ilvl w:val="0"/>
          <w:numId w:val="11"/>
        </w:numPr>
        <w:spacing w:after="240"/>
        <w:rPr>
          <w:b/>
          <w:sz w:val="24"/>
          <w:szCs w:val="24"/>
        </w:rPr>
      </w:pPr>
      <w:r w:rsidRPr="00660148">
        <w:rPr>
          <w:b/>
          <w:sz w:val="24"/>
          <w:szCs w:val="24"/>
        </w:rPr>
        <w:t>Interest Accrual.</w:t>
      </w:r>
    </w:p>
    <w:p w14:paraId="24CAA46A" w14:textId="77777777" w:rsidR="00581DA9" w:rsidRPr="00660148" w:rsidRDefault="008B11C6" w:rsidP="00581DA9">
      <w:pPr>
        <w:spacing w:after="240"/>
        <w:ind w:firstLine="720"/>
        <w:rPr>
          <w:sz w:val="24"/>
          <w:szCs w:val="24"/>
        </w:rPr>
      </w:pPr>
      <w:r w:rsidRPr="00607B30">
        <w:rPr>
          <w:bCs/>
          <w:sz w:val="24"/>
          <w:szCs w:val="24"/>
        </w:rPr>
        <w:t xml:space="preserve">Except as otherwise provided in the Loan Agreement, </w:t>
      </w:r>
      <w:r w:rsidR="00CF049D">
        <w:rPr>
          <w:sz w:val="24"/>
          <w:szCs w:val="24"/>
        </w:rPr>
        <w:t>i</w:t>
      </w:r>
      <w:r w:rsidR="00581DA9" w:rsidRPr="00660148">
        <w:rPr>
          <w:sz w:val="24"/>
          <w:szCs w:val="24"/>
        </w:rPr>
        <w:t xml:space="preserve">nterest shall accrue at the Fixed Rate until the </w:t>
      </w:r>
      <w:r w:rsidR="00D70A4A">
        <w:rPr>
          <w:sz w:val="24"/>
          <w:szCs w:val="24"/>
        </w:rPr>
        <w:t>HYARM Conversion</w:t>
      </w:r>
      <w:r w:rsidR="00581DA9" w:rsidRPr="00660148">
        <w:rPr>
          <w:sz w:val="24"/>
          <w:szCs w:val="24"/>
        </w:rPr>
        <w:t xml:space="preserve"> Date.  Thereafter, interest shall accrue at the Adjustable Rate </w:t>
      </w:r>
      <w:r w:rsidR="00581DA9" w:rsidRPr="00660148">
        <w:rPr>
          <w:spacing w:val="-2"/>
          <w:sz w:val="24"/>
          <w:szCs w:val="24"/>
        </w:rPr>
        <w:t>until the Mortgage Loan is fully paid</w:t>
      </w:r>
      <w:r w:rsidR="00581DA9" w:rsidRPr="00660148">
        <w:rPr>
          <w:sz w:val="24"/>
          <w:szCs w:val="24"/>
        </w:rPr>
        <w:t>.</w:t>
      </w:r>
    </w:p>
    <w:p w14:paraId="0D124DCD" w14:textId="77777777" w:rsidR="008738A7" w:rsidRDefault="00581DA9" w:rsidP="008738A7">
      <w:pPr>
        <w:keepNext/>
        <w:numPr>
          <w:ilvl w:val="0"/>
          <w:numId w:val="11"/>
        </w:numPr>
        <w:spacing w:after="240"/>
        <w:rPr>
          <w:rStyle w:val="DeltaViewDeletion"/>
          <w:strike w:val="0"/>
          <w:color w:val="auto"/>
          <w:sz w:val="24"/>
          <w:szCs w:val="24"/>
        </w:rPr>
      </w:pPr>
      <w:r w:rsidRPr="00660148">
        <w:rPr>
          <w:rStyle w:val="DeltaViewDeletion"/>
          <w:b/>
          <w:strike w:val="0"/>
          <w:color w:val="auto"/>
          <w:sz w:val="24"/>
          <w:szCs w:val="24"/>
        </w:rPr>
        <w:t xml:space="preserve">Adjustable Rate; </w:t>
      </w:r>
      <w:r w:rsidR="002E0CAA">
        <w:rPr>
          <w:rStyle w:val="DeltaViewDeletion"/>
          <w:b/>
          <w:strike w:val="0"/>
          <w:color w:val="auto"/>
          <w:sz w:val="24"/>
          <w:szCs w:val="24"/>
        </w:rPr>
        <w:t>Index Replacement</w:t>
      </w:r>
      <w:r w:rsidRPr="00660148">
        <w:rPr>
          <w:rStyle w:val="DeltaViewDeletion"/>
          <w:b/>
          <w:strike w:val="0"/>
          <w:color w:val="auto"/>
          <w:sz w:val="24"/>
          <w:szCs w:val="24"/>
        </w:rPr>
        <w:t>.</w:t>
      </w:r>
    </w:p>
    <w:p w14:paraId="123F7C67" w14:textId="77777777" w:rsidR="002E0CAA" w:rsidRPr="002E0CAA" w:rsidRDefault="002E0CAA" w:rsidP="00581DA9">
      <w:pPr>
        <w:spacing w:after="240"/>
        <w:ind w:firstLine="720"/>
        <w:rPr>
          <w:b/>
          <w:sz w:val="24"/>
          <w:szCs w:val="24"/>
        </w:rPr>
      </w:pPr>
      <w:r>
        <w:rPr>
          <w:b/>
          <w:sz w:val="24"/>
          <w:szCs w:val="24"/>
        </w:rPr>
        <w:t>(a)</w:t>
      </w:r>
      <w:r>
        <w:rPr>
          <w:b/>
          <w:sz w:val="24"/>
          <w:szCs w:val="24"/>
        </w:rPr>
        <w:tab/>
        <w:t>Adjustments.</w:t>
      </w:r>
    </w:p>
    <w:p w14:paraId="28944779" w14:textId="77777777" w:rsidR="008738A7" w:rsidRDefault="00581DA9" w:rsidP="00581DA9">
      <w:pPr>
        <w:spacing w:after="240"/>
        <w:ind w:firstLine="720"/>
        <w:rPr>
          <w:sz w:val="24"/>
          <w:szCs w:val="24"/>
        </w:rPr>
      </w:pPr>
      <w:r w:rsidRPr="00D1787B">
        <w:rPr>
          <w:sz w:val="24"/>
          <w:szCs w:val="24"/>
        </w:rPr>
        <w:t xml:space="preserve">The initial Adjustable Rate shall be effective beginning on the </w:t>
      </w:r>
      <w:r w:rsidR="00D70A4A" w:rsidRPr="00D1787B">
        <w:rPr>
          <w:sz w:val="24"/>
          <w:szCs w:val="24"/>
        </w:rPr>
        <w:t>HYARM Conversion</w:t>
      </w:r>
      <w:r w:rsidRPr="00D1787B">
        <w:rPr>
          <w:sz w:val="24"/>
          <w:szCs w:val="24"/>
        </w:rPr>
        <w:t xml:space="preserve"> Date.  </w:t>
      </w:r>
      <w:r w:rsidR="005A192B" w:rsidRPr="00D1787B">
        <w:rPr>
          <w:sz w:val="24"/>
          <w:szCs w:val="24"/>
        </w:rPr>
        <w:t>Thereafter, t</w:t>
      </w:r>
      <w:r w:rsidRPr="00D1787B">
        <w:rPr>
          <w:sz w:val="24"/>
          <w:szCs w:val="24"/>
        </w:rPr>
        <w:t>he Adjustable Rate shall change on each Rate Change Date based on fluctuations in the Current Index</w:t>
      </w:r>
      <w:r w:rsidR="005A192B" w:rsidRPr="00D1787B">
        <w:rPr>
          <w:sz w:val="24"/>
          <w:szCs w:val="24"/>
        </w:rPr>
        <w:t xml:space="preserve"> </w:t>
      </w:r>
      <w:r w:rsidR="005A192B" w:rsidRPr="00D1787B">
        <w:rPr>
          <w:rStyle w:val="DeltaViewInsertion"/>
          <w:color w:val="auto"/>
          <w:spacing w:val="-2"/>
          <w:sz w:val="24"/>
          <w:szCs w:val="24"/>
          <w:u w:val="none"/>
        </w:rPr>
        <w:t>as determined by Lender, which determination shall be conclusive absent manifest error</w:t>
      </w:r>
      <w:r w:rsidR="0098603B" w:rsidRPr="00D1787B">
        <w:rPr>
          <w:sz w:val="24"/>
          <w:szCs w:val="24"/>
        </w:rPr>
        <w:t xml:space="preserve">.  </w:t>
      </w:r>
      <w:r w:rsidR="0098603B">
        <w:rPr>
          <w:sz w:val="24"/>
          <w:szCs w:val="24"/>
        </w:rPr>
        <w:t>The Adjustable Rate shall not (1) exceed the Fixed Rate by more than five percentage points (5%) at any time, (2) be lower than the Margin, or (3) change by more than one percentage point (1%), plus or minus, from the Fixed Rate in effect immediately preceding the HYARM Conversion Date or from the Adjustable Rate in effect for the period immediately preceding the Rate Change Date, as applicable.</w:t>
      </w:r>
    </w:p>
    <w:p w14:paraId="5B86AE71" w14:textId="77777777" w:rsidR="002E0CAA" w:rsidRPr="0092679E" w:rsidRDefault="002E0CAA" w:rsidP="002E0CAA">
      <w:pPr>
        <w:keepNext/>
        <w:suppressAutoHyphens/>
        <w:spacing w:after="240"/>
        <w:ind w:left="720"/>
        <w:rPr>
          <w:sz w:val="24"/>
          <w:szCs w:val="24"/>
        </w:rPr>
      </w:pPr>
      <w:r>
        <w:rPr>
          <w:b/>
          <w:bCs/>
          <w:sz w:val="24"/>
          <w:szCs w:val="24"/>
        </w:rPr>
        <w:t>(b)</w:t>
      </w:r>
      <w:r>
        <w:rPr>
          <w:b/>
          <w:bCs/>
          <w:sz w:val="24"/>
          <w:szCs w:val="24"/>
        </w:rPr>
        <w:tab/>
      </w:r>
      <w:r w:rsidRPr="0092679E">
        <w:rPr>
          <w:b/>
          <w:bCs/>
          <w:sz w:val="24"/>
          <w:szCs w:val="24"/>
        </w:rPr>
        <w:t>Index Replacement.</w:t>
      </w:r>
    </w:p>
    <w:p w14:paraId="58DF1BD0" w14:textId="77777777" w:rsidR="002E0CAA" w:rsidRPr="002E0CAA" w:rsidRDefault="002E0CAA" w:rsidP="002E0CAA">
      <w:pPr>
        <w:keepNext/>
        <w:spacing w:after="240"/>
        <w:ind w:left="1440"/>
        <w:rPr>
          <w:sz w:val="24"/>
          <w:szCs w:val="24"/>
        </w:rPr>
      </w:pPr>
      <w:r>
        <w:rPr>
          <w:rStyle w:val="DeltaViewInsertion"/>
          <w:b/>
          <w:color w:val="auto"/>
          <w:sz w:val="24"/>
          <w:szCs w:val="24"/>
          <w:u w:val="none"/>
        </w:rPr>
        <w:t>(1)</w:t>
      </w:r>
      <w:r>
        <w:rPr>
          <w:rStyle w:val="DeltaViewInsertion"/>
          <w:b/>
          <w:color w:val="auto"/>
          <w:sz w:val="24"/>
          <w:szCs w:val="24"/>
          <w:u w:val="none"/>
        </w:rPr>
        <w:tab/>
      </w:r>
      <w:r w:rsidRPr="002E0CAA">
        <w:rPr>
          <w:rStyle w:val="DeltaViewInsertion"/>
          <w:b/>
          <w:color w:val="auto"/>
          <w:sz w:val="24"/>
          <w:szCs w:val="24"/>
          <w:u w:val="none"/>
        </w:rPr>
        <w:t>Index Replacement Date.</w:t>
      </w:r>
      <w:bookmarkStart w:id="1" w:name="_DV_C15"/>
    </w:p>
    <w:p w14:paraId="023AD096" w14:textId="77777777" w:rsidR="002E0CAA" w:rsidRPr="0092679E" w:rsidRDefault="002E0CAA" w:rsidP="002E0CAA">
      <w:pPr>
        <w:pStyle w:val="ListParagraph"/>
        <w:widowControl w:val="0"/>
        <w:spacing w:after="240"/>
        <w:ind w:firstLine="720"/>
        <w:contextualSpacing w:val="0"/>
        <w:rPr>
          <w:sz w:val="24"/>
          <w:szCs w:val="24"/>
        </w:rPr>
      </w:pPr>
      <w:r w:rsidRPr="0092679E">
        <w:rPr>
          <w:rStyle w:val="DeltaViewInsertion"/>
          <w:color w:val="auto"/>
          <w:sz w:val="24"/>
          <w:szCs w:val="24"/>
          <w:u w:val="none"/>
        </w:rPr>
        <w:t>Notwithstanding anything to the contrary herein or in any other Loan Document, if an Index Transition Event and its related Index Replacement Date have occurred with respect to the Current Index, then the Index Replacement will replace the Current Index on such Index Replacement Date and all subsequent dates.  The Index Replacement will become effective on the Index Replacement Date without any amendment or further action or consent of any other party to the Loan Agreement or any other Loan Document.</w:t>
      </w:r>
      <w:bookmarkEnd w:id="1"/>
    </w:p>
    <w:p w14:paraId="2560ABB0" w14:textId="77777777" w:rsidR="002E0CAA" w:rsidRPr="0092679E" w:rsidRDefault="002E0CAA" w:rsidP="002E0CAA">
      <w:pPr>
        <w:pStyle w:val="ListParagraph"/>
        <w:suppressAutoHyphens/>
        <w:spacing w:after="240"/>
        <w:ind w:left="1440"/>
        <w:contextualSpacing w:val="0"/>
        <w:rPr>
          <w:b/>
          <w:sz w:val="24"/>
          <w:szCs w:val="24"/>
        </w:rPr>
      </w:pPr>
      <w:bookmarkStart w:id="2" w:name="_DV_C16"/>
      <w:r w:rsidRPr="0092679E">
        <w:rPr>
          <w:rStyle w:val="DeltaViewInsertion"/>
          <w:b/>
          <w:color w:val="auto"/>
          <w:sz w:val="24"/>
          <w:szCs w:val="24"/>
          <w:u w:val="none"/>
        </w:rPr>
        <w:t>(</w:t>
      </w:r>
      <w:r>
        <w:rPr>
          <w:rStyle w:val="DeltaViewInsertion"/>
          <w:b/>
          <w:color w:val="auto"/>
          <w:sz w:val="24"/>
          <w:szCs w:val="24"/>
          <w:u w:val="none"/>
        </w:rPr>
        <w:t>2</w:t>
      </w:r>
      <w:r w:rsidRPr="0092679E">
        <w:rPr>
          <w:rStyle w:val="DeltaViewInsertion"/>
          <w:b/>
          <w:color w:val="auto"/>
          <w:sz w:val="24"/>
          <w:szCs w:val="24"/>
          <w:u w:val="none"/>
        </w:rPr>
        <w:t>)</w:t>
      </w:r>
      <w:r w:rsidRPr="0092679E">
        <w:rPr>
          <w:rStyle w:val="DeltaViewInsertion"/>
          <w:color w:val="auto"/>
          <w:sz w:val="24"/>
          <w:szCs w:val="24"/>
          <w:u w:val="none"/>
        </w:rPr>
        <w:tab/>
      </w:r>
      <w:r w:rsidRPr="0092679E">
        <w:rPr>
          <w:rStyle w:val="DeltaViewInsertion"/>
          <w:b/>
          <w:color w:val="auto"/>
          <w:sz w:val="24"/>
          <w:szCs w:val="24"/>
          <w:u w:val="none"/>
        </w:rPr>
        <w:t>Index Replacement Conforming Changes.</w:t>
      </w:r>
      <w:bookmarkEnd w:id="2"/>
    </w:p>
    <w:p w14:paraId="08A74454" w14:textId="77777777" w:rsidR="002E0CAA" w:rsidRPr="0092679E" w:rsidRDefault="002E0CAA" w:rsidP="002E0CAA">
      <w:pPr>
        <w:pStyle w:val="ListParagraph"/>
        <w:suppressAutoHyphens/>
        <w:spacing w:after="240"/>
        <w:ind w:left="1440" w:firstLine="720"/>
        <w:contextualSpacing w:val="0"/>
        <w:rPr>
          <w:sz w:val="24"/>
          <w:szCs w:val="24"/>
        </w:rPr>
      </w:pPr>
      <w:bookmarkStart w:id="3" w:name="_DV_C17"/>
      <w:r w:rsidRPr="0092679E">
        <w:rPr>
          <w:rStyle w:val="DeltaViewInsertion"/>
          <w:color w:val="auto"/>
          <w:sz w:val="24"/>
          <w:szCs w:val="24"/>
          <w:u w:val="none"/>
        </w:rPr>
        <w:t>(</w:t>
      </w:r>
      <w:proofErr w:type="spellStart"/>
      <w:r>
        <w:rPr>
          <w:rStyle w:val="DeltaViewInsertion"/>
          <w:color w:val="auto"/>
          <w:sz w:val="24"/>
          <w:szCs w:val="24"/>
          <w:u w:val="none"/>
        </w:rPr>
        <w:t>i</w:t>
      </w:r>
      <w:proofErr w:type="spellEnd"/>
      <w:r w:rsidRPr="0092679E">
        <w:rPr>
          <w:rStyle w:val="DeltaViewInsertion"/>
          <w:color w:val="auto"/>
          <w:sz w:val="24"/>
          <w:szCs w:val="24"/>
          <w:u w:val="none"/>
        </w:rPr>
        <w:t>)</w:t>
      </w:r>
      <w:r w:rsidRPr="0092679E">
        <w:rPr>
          <w:rStyle w:val="DeltaViewInsertion"/>
          <w:color w:val="auto"/>
          <w:sz w:val="24"/>
          <w:szCs w:val="24"/>
          <w:u w:val="none"/>
        </w:rPr>
        <w:tab/>
        <w:t xml:space="preserve">In connection with the implementation of an Index Replacement, Lender shall have the right to make Index Replacement Conforming Changes from </w:t>
      </w:r>
      <w:r w:rsidRPr="0092679E">
        <w:rPr>
          <w:rStyle w:val="DeltaViewInsertion"/>
          <w:color w:val="auto"/>
          <w:sz w:val="24"/>
          <w:szCs w:val="24"/>
          <w:u w:val="none"/>
        </w:rPr>
        <w:lastRenderedPageBreak/>
        <w:t>time to time.  Notwithstanding anything to the contrary herein or in any other Loan Document, any amendments implementing such Index Replacement Conforming Changes shall become effective without any further action or consent of Borrower.</w:t>
      </w:r>
      <w:bookmarkEnd w:id="3"/>
    </w:p>
    <w:p w14:paraId="13F4F647" w14:textId="77777777" w:rsidR="002E0CAA" w:rsidRDefault="002E0CAA" w:rsidP="002E0CAA">
      <w:pPr>
        <w:pStyle w:val="ListParagraph"/>
        <w:suppressAutoHyphens/>
        <w:spacing w:after="240"/>
        <w:ind w:left="1440" w:firstLine="720"/>
        <w:contextualSpacing w:val="0"/>
        <w:rPr>
          <w:rStyle w:val="DeltaViewInsertion"/>
          <w:color w:val="auto"/>
          <w:sz w:val="24"/>
          <w:szCs w:val="24"/>
          <w:u w:val="none"/>
        </w:rPr>
      </w:pPr>
      <w:bookmarkStart w:id="4" w:name="_DV_C18"/>
      <w:r w:rsidRPr="0092679E">
        <w:rPr>
          <w:rStyle w:val="DeltaViewInsertion"/>
          <w:color w:val="auto"/>
          <w:sz w:val="24"/>
          <w:szCs w:val="24"/>
          <w:u w:val="none"/>
        </w:rPr>
        <w:t>(</w:t>
      </w:r>
      <w:r>
        <w:rPr>
          <w:rStyle w:val="DeltaViewInsertion"/>
          <w:color w:val="auto"/>
          <w:sz w:val="24"/>
          <w:szCs w:val="24"/>
          <w:u w:val="none"/>
        </w:rPr>
        <w:t>ii</w:t>
      </w:r>
      <w:r w:rsidRPr="0092679E">
        <w:rPr>
          <w:rStyle w:val="DeltaViewInsertion"/>
          <w:color w:val="auto"/>
          <w:sz w:val="24"/>
          <w:szCs w:val="24"/>
          <w:u w:val="none"/>
        </w:rPr>
        <w:t>)</w:t>
      </w:r>
      <w:r w:rsidRPr="0092679E">
        <w:rPr>
          <w:rStyle w:val="DeltaViewInsertion"/>
          <w:color w:val="auto"/>
          <w:sz w:val="24"/>
          <w:szCs w:val="24"/>
          <w:u w:val="none"/>
        </w:rPr>
        <w:tab/>
        <w:t>Lender shall notify Borrower of (A) the occurrence of any Index Transition Event and its related Index Replacement Date, (B) the Index Replacement determined by Lender, and (C) any required Index Replacement Conforming Changes.  Any determination, decision, or election made by Lender pursuant to this Section</w:t>
      </w:r>
      <w:r w:rsidR="001B647C">
        <w:rPr>
          <w:rStyle w:val="DeltaViewInsertion"/>
          <w:color w:val="auto"/>
          <w:sz w:val="24"/>
          <w:szCs w:val="24"/>
          <w:u w:val="none"/>
        </w:rPr>
        <w:t> 3</w:t>
      </w:r>
      <w:r w:rsidRPr="0092679E">
        <w:rPr>
          <w:rStyle w:val="DeltaViewInsertion"/>
          <w:color w:val="auto"/>
          <w:sz w:val="24"/>
          <w:szCs w:val="24"/>
          <w:u w:val="none"/>
        </w:rPr>
        <w:t>, including any determination by Lender with respect to tenor, rate, or adjustment, or of the occurrence or non-occurrence of an event, circumstance, or date, and any decision to take or refrain from taking any action or any selection, shall be conclusive and binding absent manifest error and may be made in Lender’s sole discretion and without consent from Borrower.</w:t>
      </w:r>
      <w:bookmarkEnd w:id="4"/>
    </w:p>
    <w:p w14:paraId="3798B844" w14:textId="77777777" w:rsidR="002E0CAA" w:rsidRDefault="002E0CAA" w:rsidP="002E0CAA">
      <w:pPr>
        <w:suppressAutoHyphens/>
        <w:spacing w:after="240"/>
        <w:ind w:left="1440"/>
        <w:rPr>
          <w:b/>
          <w:sz w:val="24"/>
          <w:szCs w:val="24"/>
        </w:rPr>
      </w:pPr>
      <w:r>
        <w:rPr>
          <w:b/>
          <w:sz w:val="24"/>
          <w:szCs w:val="24"/>
        </w:rPr>
        <w:t>(3)</w:t>
      </w:r>
      <w:r>
        <w:rPr>
          <w:b/>
          <w:sz w:val="24"/>
          <w:szCs w:val="24"/>
        </w:rPr>
        <w:tab/>
        <w:t>Federal Income Tax Treatment.</w:t>
      </w:r>
    </w:p>
    <w:p w14:paraId="78E1E490" w14:textId="77777777" w:rsidR="002E0CAA" w:rsidRDefault="002E0CAA" w:rsidP="002E0CAA">
      <w:pPr>
        <w:suppressAutoHyphens/>
        <w:spacing w:after="240"/>
        <w:ind w:left="720" w:firstLine="720"/>
        <w:rPr>
          <w:sz w:val="24"/>
        </w:rPr>
      </w:pPr>
      <w:r>
        <w:rPr>
          <w:sz w:val="24"/>
        </w:rPr>
        <w:t xml:space="preserve">For federal income tax purposes, Lender intends to </w:t>
      </w:r>
      <w:r w:rsidRPr="001B647C">
        <w:rPr>
          <w:sz w:val="24"/>
        </w:rPr>
        <w:t>effect</w:t>
      </w:r>
      <w:r>
        <w:rPr>
          <w:sz w:val="24"/>
        </w:rPr>
        <w:t xml:space="preserve"> the replacement of the Current Index with the Index Replacement in connection with an Index Transition Event such that the replacement will not result in a tax realization event under Section 1001 of the Internal Revenue Code of 1986, as amended, and relevant Treasury Regulations promulgated thereunder.</w:t>
      </w:r>
    </w:p>
    <w:p w14:paraId="0D0A5CAE" w14:textId="77777777" w:rsidR="008738A7" w:rsidRPr="008738A7" w:rsidRDefault="00590905" w:rsidP="008738A7">
      <w:pPr>
        <w:keepNext/>
        <w:numPr>
          <w:ilvl w:val="0"/>
          <w:numId w:val="11"/>
        </w:numPr>
        <w:spacing w:after="240"/>
        <w:rPr>
          <w:b/>
          <w:sz w:val="24"/>
          <w:szCs w:val="24"/>
        </w:rPr>
      </w:pPr>
      <w:r>
        <w:rPr>
          <w:b/>
          <w:sz w:val="24"/>
          <w:szCs w:val="24"/>
        </w:rPr>
        <w:t>Notification</w:t>
      </w:r>
      <w:r w:rsidR="00581DA9" w:rsidRPr="008738A7">
        <w:rPr>
          <w:b/>
          <w:sz w:val="24"/>
          <w:szCs w:val="24"/>
        </w:rPr>
        <w:t xml:space="preserve"> of Interest Rate Change and</w:t>
      </w:r>
      <w:r w:rsidR="008738A7" w:rsidRPr="008738A7">
        <w:rPr>
          <w:b/>
          <w:sz w:val="24"/>
          <w:szCs w:val="24"/>
        </w:rPr>
        <w:t xml:space="preserve"> Monthly Debt Service Payment.</w:t>
      </w:r>
    </w:p>
    <w:p w14:paraId="61923622" w14:textId="77777777" w:rsidR="00581DA9" w:rsidRPr="00660148" w:rsidRDefault="00581DA9" w:rsidP="00581DA9">
      <w:pPr>
        <w:spacing w:after="240"/>
        <w:ind w:firstLine="720"/>
        <w:rPr>
          <w:sz w:val="24"/>
          <w:szCs w:val="24"/>
        </w:rPr>
      </w:pPr>
      <w:r w:rsidRPr="00660148">
        <w:rPr>
          <w:sz w:val="24"/>
          <w:szCs w:val="24"/>
        </w:rPr>
        <w:t xml:space="preserve">Before each Payment Change Date, Lender shall notify Borrower of any change in the Adjustable Rate </w:t>
      </w:r>
      <w:r w:rsidR="00305CEC">
        <w:rPr>
          <w:sz w:val="24"/>
          <w:szCs w:val="24"/>
        </w:rPr>
        <w:t>and</w:t>
      </w:r>
      <w:r w:rsidRPr="00660148">
        <w:rPr>
          <w:sz w:val="24"/>
          <w:szCs w:val="24"/>
        </w:rPr>
        <w:t xml:space="preserve"> the amount of the next Monthly Debt Service Payment.</w:t>
      </w:r>
    </w:p>
    <w:p w14:paraId="413395A9" w14:textId="77777777" w:rsidR="005A192B" w:rsidRPr="005A192B" w:rsidRDefault="00581DA9" w:rsidP="008738A7">
      <w:pPr>
        <w:keepNext/>
        <w:numPr>
          <w:ilvl w:val="0"/>
          <w:numId w:val="11"/>
        </w:numPr>
        <w:suppressAutoHyphens/>
        <w:spacing w:after="240"/>
        <w:rPr>
          <w:sz w:val="24"/>
          <w:szCs w:val="24"/>
        </w:rPr>
      </w:pPr>
      <w:r w:rsidRPr="00660148">
        <w:rPr>
          <w:rStyle w:val="DeltaViewDeletion"/>
          <w:b/>
          <w:bCs/>
          <w:strike w:val="0"/>
          <w:color w:val="auto"/>
          <w:sz w:val="24"/>
          <w:szCs w:val="24"/>
        </w:rPr>
        <w:t>Correction to</w:t>
      </w:r>
      <w:r w:rsidRPr="00660148">
        <w:rPr>
          <w:b/>
          <w:bCs/>
          <w:sz w:val="24"/>
          <w:szCs w:val="24"/>
        </w:rPr>
        <w:t xml:space="preserve"> Monthly Debt Service Payment</w:t>
      </w:r>
      <w:r w:rsidR="00590905">
        <w:rPr>
          <w:b/>
          <w:bCs/>
          <w:sz w:val="24"/>
          <w:szCs w:val="24"/>
        </w:rPr>
        <w:t>s</w:t>
      </w:r>
      <w:r w:rsidRPr="00660148">
        <w:rPr>
          <w:b/>
          <w:bCs/>
          <w:sz w:val="24"/>
          <w:szCs w:val="24"/>
        </w:rPr>
        <w:t>.</w:t>
      </w:r>
    </w:p>
    <w:p w14:paraId="73015007" w14:textId="77777777" w:rsidR="005A192B" w:rsidRPr="005A192B" w:rsidRDefault="00B6782D" w:rsidP="00B6782D">
      <w:pPr>
        <w:widowControl w:val="0"/>
        <w:spacing w:after="240"/>
        <w:ind w:firstLine="720"/>
        <w:rPr>
          <w:sz w:val="24"/>
          <w:szCs w:val="24"/>
        </w:rPr>
      </w:pPr>
      <w:r w:rsidRPr="00660148">
        <w:rPr>
          <w:sz w:val="24"/>
          <w:szCs w:val="24"/>
        </w:rPr>
        <w:t>If Lender</w:t>
      </w:r>
      <w:r>
        <w:rPr>
          <w:sz w:val="24"/>
          <w:szCs w:val="24"/>
        </w:rPr>
        <w:t xml:space="preserve"> determines</w:t>
      </w:r>
      <w:r w:rsidRPr="00660148">
        <w:rPr>
          <w:sz w:val="24"/>
          <w:szCs w:val="24"/>
        </w:rPr>
        <w:t xml:space="preserve"> at any time that it has miscalculated the amount of a Monthly Debt Service Payment (whether because of a miscalculation of the Adjustable Rate or otherwise), then Lender shall give notice to Borrower of the corrected amount of the Monthly Debt Service Payment (and the corrected Adjustable Rate, if applicable) and (a)</w:t>
      </w:r>
      <w:r>
        <w:rPr>
          <w:sz w:val="24"/>
          <w:szCs w:val="24"/>
        </w:rPr>
        <w:t> </w:t>
      </w:r>
      <w:r w:rsidRPr="00660148">
        <w:rPr>
          <w:sz w:val="24"/>
          <w:szCs w:val="24"/>
        </w:rPr>
        <w:t>if the corrected amount of the Monthly Debt Service Payment represents an increase, then Borrower shall</w:t>
      </w:r>
      <w:r w:rsidRPr="00810E4D">
        <w:rPr>
          <w:sz w:val="24"/>
          <w:szCs w:val="24"/>
        </w:rPr>
        <w:t xml:space="preserve">, within </w:t>
      </w:r>
      <w:r>
        <w:rPr>
          <w:sz w:val="24"/>
          <w:szCs w:val="24"/>
        </w:rPr>
        <w:t>thirty (</w:t>
      </w:r>
      <w:r w:rsidRPr="00810E4D">
        <w:rPr>
          <w:sz w:val="24"/>
          <w:szCs w:val="24"/>
        </w:rPr>
        <w:t>30</w:t>
      </w:r>
      <w:r>
        <w:rPr>
          <w:sz w:val="24"/>
          <w:szCs w:val="24"/>
        </w:rPr>
        <w:t>)</w:t>
      </w:r>
      <w:r w:rsidRPr="00810E4D">
        <w:rPr>
          <w:sz w:val="24"/>
          <w:szCs w:val="24"/>
        </w:rPr>
        <w:t xml:space="preserve"> calendar days thereafter, pay to Lender any sums that Borrower would have otherwise been obligated to pay to Lender had the amount of the Monthly Debt Service Payment not been miscalculated, or (b)</w:t>
      </w:r>
      <w:r>
        <w:rPr>
          <w:sz w:val="24"/>
          <w:szCs w:val="24"/>
        </w:rPr>
        <w:t> </w:t>
      </w:r>
      <w:r w:rsidRPr="00810E4D">
        <w:rPr>
          <w:sz w:val="24"/>
          <w:szCs w:val="24"/>
        </w:rPr>
        <w:t>if the corrected amount of the Monthly Debt Service Payment represents a decrease and Borrower is not otherwise in default under any of the Loan Documents, then Borrower shall thereafter be paid the sums that Borrower would not have otherwise been obligated to pay to Lender had the amount of the Monthly Debt Service Payment not been miscalculated.</w:t>
      </w:r>
    </w:p>
    <w:p w14:paraId="1468225E" w14:textId="77777777" w:rsidR="00765A61" w:rsidRDefault="00CC0E46" w:rsidP="00CC0E46">
      <w:pPr>
        <w:suppressAutoHyphens/>
        <w:spacing w:after="480"/>
        <w:jc w:val="center"/>
        <w:rPr>
          <w:sz w:val="24"/>
          <w:szCs w:val="24"/>
        </w:rPr>
      </w:pPr>
      <w:bookmarkStart w:id="5" w:name="_Hlk41849821"/>
      <w:r w:rsidRPr="002E70D2">
        <w:rPr>
          <w:b/>
          <w:sz w:val="24"/>
          <w:szCs w:val="24"/>
        </w:rPr>
        <w:t>[Remainder of Page Intentionally Blank]</w:t>
      </w:r>
      <w:bookmarkEnd w:id="5"/>
    </w:p>
    <w:sectPr w:rsidR="00765A61" w:rsidSect="009F29F2">
      <w:footerReference w:type="default" r:id="rId7"/>
      <w:endnotePr>
        <w:numFmt w:val="decimal"/>
      </w:endnotePr>
      <w:pgSz w:w="12240" w:h="15840"/>
      <w:pgMar w:top="1440" w:right="1440" w:bottom="864" w:left="1440" w:header="720" w:footer="86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D6F8C" w14:textId="77777777" w:rsidR="00340C0E" w:rsidRDefault="00340C0E">
      <w:pPr>
        <w:spacing w:line="20" w:lineRule="exact"/>
        <w:rPr>
          <w:sz w:val="24"/>
        </w:rPr>
      </w:pPr>
    </w:p>
  </w:endnote>
  <w:endnote w:type="continuationSeparator" w:id="0">
    <w:p w14:paraId="1C0EDC0F" w14:textId="77777777" w:rsidR="00340C0E" w:rsidRDefault="00340C0E">
      <w:r>
        <w:rPr>
          <w:sz w:val="24"/>
        </w:rPr>
        <w:t xml:space="preserve"> </w:t>
      </w:r>
    </w:p>
  </w:endnote>
  <w:endnote w:type="continuationNotice" w:id="1">
    <w:p w14:paraId="506C648C" w14:textId="77777777" w:rsidR="00340C0E" w:rsidRDefault="00340C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F6A6" w14:textId="77777777" w:rsidR="00017CB0" w:rsidRDefault="00017CB0"/>
  <w:tbl>
    <w:tblPr>
      <w:tblW w:w="9690" w:type="dxa"/>
      <w:tblInd w:w="-90" w:type="dxa"/>
      <w:tblLook w:val="01E0" w:firstRow="1" w:lastRow="1" w:firstColumn="1" w:lastColumn="1" w:noHBand="0" w:noVBand="0"/>
    </w:tblPr>
    <w:tblGrid>
      <w:gridCol w:w="3978"/>
      <w:gridCol w:w="2767"/>
      <w:gridCol w:w="2945"/>
    </w:tblGrid>
    <w:tr w:rsidR="00DC0662" w:rsidRPr="00EC2C30" w14:paraId="15A01024" w14:textId="77777777" w:rsidTr="00FF1F1C">
      <w:tc>
        <w:tcPr>
          <w:tcW w:w="3978" w:type="dxa"/>
          <w:shd w:val="clear" w:color="auto" w:fill="auto"/>
          <w:vAlign w:val="bottom"/>
        </w:tcPr>
        <w:p w14:paraId="474E0DBB" w14:textId="77777777" w:rsidR="00DC0662" w:rsidRPr="00EC2C30" w:rsidRDefault="00DC0662" w:rsidP="00F46FE1">
          <w:pPr>
            <w:pStyle w:val="Footer"/>
            <w:jc w:val="left"/>
            <w:rPr>
              <w:b/>
              <w:bCs/>
              <w:sz w:val="20"/>
            </w:rPr>
          </w:pPr>
          <w:r w:rsidRPr="00EC2C30">
            <w:rPr>
              <w:b/>
              <w:bCs/>
              <w:sz w:val="20"/>
            </w:rPr>
            <w:t>Schedule 3 to Multifamily Loan and Security Agreement - Interest Rate Type Provisions (H</w:t>
          </w:r>
          <w:r w:rsidR="00017CB0">
            <w:rPr>
              <w:b/>
              <w:bCs/>
              <w:sz w:val="20"/>
            </w:rPr>
            <w:t xml:space="preserve">ybrid </w:t>
          </w:r>
          <w:r w:rsidRPr="00EC2C30">
            <w:rPr>
              <w:b/>
              <w:bCs/>
              <w:sz w:val="20"/>
            </w:rPr>
            <w:t>ARM</w:t>
          </w:r>
          <w:r w:rsidR="00FF1F1C">
            <w:rPr>
              <w:b/>
              <w:bCs/>
              <w:sz w:val="20"/>
            </w:rPr>
            <w:t xml:space="preserve"> </w:t>
          </w:r>
          <w:r w:rsidR="00EF34E1">
            <w:rPr>
              <w:b/>
              <w:bCs/>
              <w:sz w:val="20"/>
            </w:rPr>
            <w:t>(</w:t>
          </w:r>
          <w:proofErr w:type="spellStart"/>
          <w:r w:rsidR="00FF1F1C">
            <w:rPr>
              <w:b/>
              <w:bCs/>
              <w:sz w:val="20"/>
            </w:rPr>
            <w:t>SOFR</w:t>
          </w:r>
          <w:proofErr w:type="spellEnd"/>
          <w:r w:rsidR="00EF34E1">
            <w:rPr>
              <w:b/>
              <w:bCs/>
              <w:sz w:val="20"/>
            </w:rPr>
            <w:t>)</w:t>
          </w:r>
          <w:r w:rsidRPr="00EC2C30">
            <w:rPr>
              <w:b/>
              <w:bCs/>
              <w:sz w:val="20"/>
            </w:rPr>
            <w:t>)</w:t>
          </w:r>
        </w:p>
      </w:tc>
      <w:tc>
        <w:tcPr>
          <w:tcW w:w="2767" w:type="dxa"/>
          <w:shd w:val="clear" w:color="auto" w:fill="auto"/>
          <w:vAlign w:val="bottom"/>
        </w:tcPr>
        <w:p w14:paraId="18718718" w14:textId="77777777" w:rsidR="00DC0662" w:rsidRPr="00EC2C30" w:rsidRDefault="00DC0662" w:rsidP="00EC2C30">
          <w:pPr>
            <w:pStyle w:val="Footer"/>
            <w:jc w:val="center"/>
            <w:rPr>
              <w:b/>
              <w:sz w:val="20"/>
            </w:rPr>
          </w:pPr>
          <w:r w:rsidRPr="00EC2C30">
            <w:rPr>
              <w:b/>
              <w:sz w:val="20"/>
            </w:rPr>
            <w:t>Form 6103.HYARM</w:t>
          </w:r>
          <w:r w:rsidR="00FF1F1C">
            <w:rPr>
              <w:b/>
              <w:sz w:val="20"/>
            </w:rPr>
            <w:t xml:space="preserve"> (SOFR)</w:t>
          </w:r>
        </w:p>
      </w:tc>
      <w:tc>
        <w:tcPr>
          <w:tcW w:w="2945" w:type="dxa"/>
          <w:shd w:val="clear" w:color="auto" w:fill="auto"/>
          <w:vAlign w:val="bottom"/>
        </w:tcPr>
        <w:p w14:paraId="5658541F" w14:textId="77777777" w:rsidR="00DC0662" w:rsidRPr="00EC2C30" w:rsidRDefault="00DC0662" w:rsidP="00EC2C30">
          <w:pPr>
            <w:pStyle w:val="Footer"/>
            <w:jc w:val="right"/>
            <w:rPr>
              <w:b/>
              <w:sz w:val="20"/>
            </w:rPr>
          </w:pPr>
          <w:r w:rsidRPr="00EC2C30">
            <w:rPr>
              <w:b/>
              <w:sz w:val="20"/>
            </w:rPr>
            <w:t xml:space="preserve">Page </w:t>
          </w:r>
          <w:r w:rsidRPr="00EC2C30">
            <w:rPr>
              <w:rStyle w:val="PageNumber"/>
              <w:b/>
            </w:rPr>
            <w:fldChar w:fldCharType="begin"/>
          </w:r>
          <w:r w:rsidRPr="00EC2C30">
            <w:rPr>
              <w:rStyle w:val="PageNumber"/>
              <w:b/>
            </w:rPr>
            <w:instrText xml:space="preserve"> PAGE </w:instrText>
          </w:r>
          <w:r w:rsidRPr="00EC2C30">
            <w:rPr>
              <w:rStyle w:val="PageNumber"/>
              <w:b/>
            </w:rPr>
            <w:fldChar w:fldCharType="separate"/>
          </w:r>
          <w:r w:rsidR="00B4678F">
            <w:rPr>
              <w:rStyle w:val="PageNumber"/>
              <w:b/>
              <w:noProof/>
            </w:rPr>
            <w:t>2</w:t>
          </w:r>
          <w:r w:rsidRPr="00EC2C30">
            <w:rPr>
              <w:rStyle w:val="PageNumber"/>
              <w:b/>
            </w:rPr>
            <w:fldChar w:fldCharType="end"/>
          </w:r>
        </w:p>
      </w:tc>
    </w:tr>
    <w:tr w:rsidR="00DC0662" w:rsidRPr="00EC2C30" w14:paraId="0AC8AF22" w14:textId="77777777" w:rsidTr="00FF1F1C">
      <w:tc>
        <w:tcPr>
          <w:tcW w:w="3978" w:type="dxa"/>
          <w:shd w:val="clear" w:color="auto" w:fill="auto"/>
          <w:vAlign w:val="bottom"/>
        </w:tcPr>
        <w:p w14:paraId="3897F79D" w14:textId="77777777" w:rsidR="00DC0662" w:rsidRPr="00EC2C30" w:rsidRDefault="00DC0662" w:rsidP="0088160B">
          <w:pPr>
            <w:pStyle w:val="Footer"/>
            <w:rPr>
              <w:b/>
              <w:sz w:val="20"/>
            </w:rPr>
          </w:pPr>
          <w:r w:rsidRPr="00EC2C30">
            <w:rPr>
              <w:b/>
              <w:sz w:val="20"/>
            </w:rPr>
            <w:t>Fannie Mae</w:t>
          </w:r>
        </w:p>
      </w:tc>
      <w:tc>
        <w:tcPr>
          <w:tcW w:w="2767" w:type="dxa"/>
          <w:shd w:val="clear" w:color="auto" w:fill="auto"/>
          <w:vAlign w:val="bottom"/>
        </w:tcPr>
        <w:p w14:paraId="39032744" w14:textId="77777777" w:rsidR="00DC0662" w:rsidRPr="00EC2C30" w:rsidRDefault="002C12FC" w:rsidP="00EC2C30">
          <w:pPr>
            <w:pStyle w:val="Footer"/>
            <w:jc w:val="center"/>
            <w:rPr>
              <w:b/>
              <w:sz w:val="20"/>
            </w:rPr>
          </w:pPr>
          <w:r>
            <w:rPr>
              <w:b/>
              <w:sz w:val="20"/>
            </w:rPr>
            <w:t>09</w:t>
          </w:r>
          <w:r w:rsidR="00703C9C">
            <w:rPr>
              <w:b/>
              <w:sz w:val="20"/>
            </w:rPr>
            <w:t>-</w:t>
          </w:r>
          <w:r w:rsidR="00CC0E46">
            <w:rPr>
              <w:b/>
              <w:sz w:val="20"/>
            </w:rPr>
            <w:t>20</w:t>
          </w:r>
        </w:p>
      </w:tc>
      <w:tc>
        <w:tcPr>
          <w:tcW w:w="2945" w:type="dxa"/>
          <w:shd w:val="clear" w:color="auto" w:fill="auto"/>
          <w:vAlign w:val="bottom"/>
        </w:tcPr>
        <w:p w14:paraId="49061E64" w14:textId="77777777" w:rsidR="00DC0662" w:rsidRPr="00EC2C30" w:rsidRDefault="00221FAC" w:rsidP="00721541">
          <w:pPr>
            <w:pStyle w:val="Footer"/>
            <w:jc w:val="right"/>
            <w:rPr>
              <w:b/>
              <w:sz w:val="20"/>
            </w:rPr>
          </w:pPr>
          <w:r>
            <w:rPr>
              <w:b/>
              <w:sz w:val="20"/>
            </w:rPr>
            <w:t>© 20</w:t>
          </w:r>
          <w:r w:rsidR="00CC0E46">
            <w:rPr>
              <w:b/>
              <w:sz w:val="20"/>
            </w:rPr>
            <w:t>20</w:t>
          </w:r>
          <w:r w:rsidR="00DC0662" w:rsidRPr="00EC2C30">
            <w:rPr>
              <w:b/>
              <w:sz w:val="20"/>
            </w:rPr>
            <w:t xml:space="preserve"> Fannie Mae</w:t>
          </w:r>
        </w:p>
      </w:tc>
    </w:tr>
  </w:tbl>
  <w:p w14:paraId="4FF365CC" w14:textId="77777777" w:rsidR="00DC0662" w:rsidRPr="00EB5A0B" w:rsidRDefault="00DC0662" w:rsidP="0088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0CB99" w14:textId="77777777" w:rsidR="00340C0E" w:rsidRDefault="00340C0E">
      <w:r>
        <w:rPr>
          <w:sz w:val="24"/>
        </w:rPr>
        <w:separator/>
      </w:r>
    </w:p>
  </w:footnote>
  <w:footnote w:type="continuationSeparator" w:id="0">
    <w:p w14:paraId="788BDF88" w14:textId="77777777" w:rsidR="00340C0E" w:rsidRDefault="0034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BC2"/>
    <w:multiLevelType w:val="multilevel"/>
    <w:tmpl w:val="FCE232A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0A5323A"/>
    <w:multiLevelType w:val="hybridMultilevel"/>
    <w:tmpl w:val="51B05162"/>
    <w:lvl w:ilvl="0" w:tplc="4614D77E">
      <w:start w:val="3"/>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DD4BE0"/>
    <w:multiLevelType w:val="hybridMultilevel"/>
    <w:tmpl w:val="2B548972"/>
    <w:lvl w:ilvl="0" w:tplc="6EFAD3D8">
      <w:start w:val="1"/>
      <w:numFmt w:val="lowerLetter"/>
      <w:lvlText w:val="(%1)"/>
      <w:lvlJc w:val="left"/>
      <w:pPr>
        <w:ind w:left="1080" w:hanging="360"/>
      </w:pPr>
      <w:rPr>
        <w:rFonts w:ascii="Times New Roman Bold" w:hAnsi="Times New Roman Bold" w:hint="default"/>
        <w:b/>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043DC"/>
    <w:multiLevelType w:val="hybridMultilevel"/>
    <w:tmpl w:val="01A46592"/>
    <w:lvl w:ilvl="0" w:tplc="4614D77E">
      <w:start w:val="4"/>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4B688F"/>
    <w:multiLevelType w:val="hybridMultilevel"/>
    <w:tmpl w:val="4146A6EA"/>
    <w:lvl w:ilvl="0" w:tplc="EC82D8AA">
      <w:start w:val="2"/>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328898A">
      <w:start w:val="1"/>
      <w:numFmt w:val="low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A84121F"/>
    <w:multiLevelType w:val="hybridMultilevel"/>
    <w:tmpl w:val="CE9E3B8E"/>
    <w:lvl w:ilvl="0" w:tplc="115C5A48">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C00906"/>
    <w:multiLevelType w:val="hybridMultilevel"/>
    <w:tmpl w:val="11FC5988"/>
    <w:lvl w:ilvl="0" w:tplc="0D4EC34C">
      <w:start w:val="2"/>
      <w:numFmt w:val="lowerRoman"/>
      <w:lvlText w:val="(%1)"/>
      <w:lvlJc w:val="left"/>
      <w:pPr>
        <w:tabs>
          <w:tab w:val="num" w:pos="3600"/>
        </w:tabs>
        <w:ind w:left="3600" w:hanging="720"/>
      </w:pPr>
      <w:rPr>
        <w:rFonts w:hint="default"/>
        <w:color w:val="auto"/>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4AAD2347"/>
    <w:multiLevelType w:val="hybridMultilevel"/>
    <w:tmpl w:val="2414623A"/>
    <w:lvl w:ilvl="0" w:tplc="3FFE7EEA">
      <w:start w:val="1"/>
      <w:numFmt w:val="bullet"/>
      <w:lvlText w:val=""/>
      <w:lvlJc w:val="left"/>
      <w:pPr>
        <w:tabs>
          <w:tab w:val="num" w:pos="1062"/>
        </w:tabs>
        <w:ind w:left="702" w:firstLine="0"/>
      </w:pPr>
      <w:rPr>
        <w:rFonts w:ascii="Symbol" w:hAnsi="Symbol" w:hint="default"/>
        <w:color w:val="auto"/>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9" w15:restartNumberingAfterBreak="0">
    <w:nsid w:val="535B2137"/>
    <w:multiLevelType w:val="hybridMultilevel"/>
    <w:tmpl w:val="9E68966A"/>
    <w:lvl w:ilvl="0" w:tplc="6C0A3D3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18E5554"/>
    <w:multiLevelType w:val="hybridMultilevel"/>
    <w:tmpl w:val="9B323CAE"/>
    <w:lvl w:ilvl="0" w:tplc="4614D77E">
      <w:start w:val="3"/>
      <w:numFmt w:val="decimal"/>
      <w:lvlText w:val="%1."/>
      <w:lvlJc w:val="left"/>
      <w:pPr>
        <w:tabs>
          <w:tab w:val="num" w:pos="1440"/>
        </w:tabs>
        <w:ind w:left="1440" w:hanging="720"/>
      </w:pPr>
      <w:rPr>
        <w:rFonts w:hint="default"/>
        <w:b/>
      </w:rPr>
    </w:lvl>
    <w:lvl w:ilvl="1" w:tplc="4420D9CA">
      <w:start w:val="2"/>
      <w:numFmt w:val="low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9CD28C7"/>
    <w:multiLevelType w:val="multilevel"/>
    <w:tmpl w:val="C9E022E4"/>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711461"/>
    <w:multiLevelType w:val="hybridMultilevel"/>
    <w:tmpl w:val="05E8F91C"/>
    <w:lvl w:ilvl="0" w:tplc="4614D77E">
      <w:start w:val="3"/>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6"/>
  </w:num>
  <w:num w:numId="5">
    <w:abstractNumId w:val="10"/>
  </w:num>
  <w:num w:numId="6">
    <w:abstractNumId w:val="5"/>
  </w:num>
  <w:num w:numId="7">
    <w:abstractNumId w:val="12"/>
  </w:num>
  <w:num w:numId="8">
    <w:abstractNumId w:val="4"/>
  </w:num>
  <w:num w:numId="9">
    <w:abstractNumId w:val="1"/>
  </w:num>
  <w:num w:numId="10">
    <w:abstractNumId w:val="9"/>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FA"/>
    <w:rsid w:val="00017CB0"/>
    <w:rsid w:val="00042FE0"/>
    <w:rsid w:val="000515BA"/>
    <w:rsid w:val="000832C9"/>
    <w:rsid w:val="000A6E23"/>
    <w:rsid w:val="000B5A8E"/>
    <w:rsid w:val="000D2DF8"/>
    <w:rsid w:val="000E41FD"/>
    <w:rsid w:val="000F6B99"/>
    <w:rsid w:val="000F7A3A"/>
    <w:rsid w:val="001008A6"/>
    <w:rsid w:val="001016D7"/>
    <w:rsid w:val="0015005F"/>
    <w:rsid w:val="001535F8"/>
    <w:rsid w:val="00161FB3"/>
    <w:rsid w:val="00186EB5"/>
    <w:rsid w:val="001B2A66"/>
    <w:rsid w:val="001B647C"/>
    <w:rsid w:val="001D2556"/>
    <w:rsid w:val="001E058B"/>
    <w:rsid w:val="001E0758"/>
    <w:rsid w:val="001F7945"/>
    <w:rsid w:val="00204E0D"/>
    <w:rsid w:val="00211B31"/>
    <w:rsid w:val="00221FAC"/>
    <w:rsid w:val="00287D12"/>
    <w:rsid w:val="002C12FC"/>
    <w:rsid w:val="002E0CAA"/>
    <w:rsid w:val="002E6642"/>
    <w:rsid w:val="00305CEC"/>
    <w:rsid w:val="003113BF"/>
    <w:rsid w:val="00315B5E"/>
    <w:rsid w:val="00340C0E"/>
    <w:rsid w:val="00367346"/>
    <w:rsid w:val="00394F3C"/>
    <w:rsid w:val="00435E62"/>
    <w:rsid w:val="004760D7"/>
    <w:rsid w:val="0048341C"/>
    <w:rsid w:val="004B2B9F"/>
    <w:rsid w:val="005151ED"/>
    <w:rsid w:val="00526A88"/>
    <w:rsid w:val="0055531A"/>
    <w:rsid w:val="00575DCE"/>
    <w:rsid w:val="00581DA9"/>
    <w:rsid w:val="00583A35"/>
    <w:rsid w:val="00590905"/>
    <w:rsid w:val="005A0AA2"/>
    <w:rsid w:val="005A192B"/>
    <w:rsid w:val="0060713E"/>
    <w:rsid w:val="00621486"/>
    <w:rsid w:val="00624762"/>
    <w:rsid w:val="00633E0C"/>
    <w:rsid w:val="00635669"/>
    <w:rsid w:val="00647840"/>
    <w:rsid w:val="00660148"/>
    <w:rsid w:val="006853C5"/>
    <w:rsid w:val="00696894"/>
    <w:rsid w:val="006A6AE6"/>
    <w:rsid w:val="006C310C"/>
    <w:rsid w:val="006D5921"/>
    <w:rsid w:val="006E2526"/>
    <w:rsid w:val="00703C9C"/>
    <w:rsid w:val="00705C55"/>
    <w:rsid w:val="00710010"/>
    <w:rsid w:val="007167E6"/>
    <w:rsid w:val="00721541"/>
    <w:rsid w:val="0075231B"/>
    <w:rsid w:val="00765A61"/>
    <w:rsid w:val="00781731"/>
    <w:rsid w:val="007D3D60"/>
    <w:rsid w:val="007E6B7B"/>
    <w:rsid w:val="0082436A"/>
    <w:rsid w:val="00830980"/>
    <w:rsid w:val="00844066"/>
    <w:rsid w:val="008738A7"/>
    <w:rsid w:val="0088160B"/>
    <w:rsid w:val="008A12AB"/>
    <w:rsid w:val="008A4650"/>
    <w:rsid w:val="008A6CCA"/>
    <w:rsid w:val="008B11C6"/>
    <w:rsid w:val="008B1B35"/>
    <w:rsid w:val="0092679E"/>
    <w:rsid w:val="00926D54"/>
    <w:rsid w:val="009314E1"/>
    <w:rsid w:val="009764CD"/>
    <w:rsid w:val="00983975"/>
    <w:rsid w:val="0098603B"/>
    <w:rsid w:val="009869C0"/>
    <w:rsid w:val="00992126"/>
    <w:rsid w:val="009A2D0F"/>
    <w:rsid w:val="009A2FA7"/>
    <w:rsid w:val="009B5074"/>
    <w:rsid w:val="009B5314"/>
    <w:rsid w:val="009B61FF"/>
    <w:rsid w:val="009F2255"/>
    <w:rsid w:val="009F29F2"/>
    <w:rsid w:val="00A0237E"/>
    <w:rsid w:val="00A14C91"/>
    <w:rsid w:val="00A1628C"/>
    <w:rsid w:val="00A53FA6"/>
    <w:rsid w:val="00A6494E"/>
    <w:rsid w:val="00A65AEA"/>
    <w:rsid w:val="00A835A6"/>
    <w:rsid w:val="00AA3B8F"/>
    <w:rsid w:val="00AB205D"/>
    <w:rsid w:val="00AD34B7"/>
    <w:rsid w:val="00AE007F"/>
    <w:rsid w:val="00B15189"/>
    <w:rsid w:val="00B1716A"/>
    <w:rsid w:val="00B207C6"/>
    <w:rsid w:val="00B27ED3"/>
    <w:rsid w:val="00B458F9"/>
    <w:rsid w:val="00B4678F"/>
    <w:rsid w:val="00B6782D"/>
    <w:rsid w:val="00BC3192"/>
    <w:rsid w:val="00BE4924"/>
    <w:rsid w:val="00BF3F47"/>
    <w:rsid w:val="00C203D9"/>
    <w:rsid w:val="00C36C5D"/>
    <w:rsid w:val="00C84632"/>
    <w:rsid w:val="00CB2D3C"/>
    <w:rsid w:val="00CB36D6"/>
    <w:rsid w:val="00CC0821"/>
    <w:rsid w:val="00CC0E46"/>
    <w:rsid w:val="00CF049D"/>
    <w:rsid w:val="00D12825"/>
    <w:rsid w:val="00D1787B"/>
    <w:rsid w:val="00D25049"/>
    <w:rsid w:val="00D30DE8"/>
    <w:rsid w:val="00D70A4A"/>
    <w:rsid w:val="00D71BB8"/>
    <w:rsid w:val="00D81456"/>
    <w:rsid w:val="00D9245D"/>
    <w:rsid w:val="00D9754B"/>
    <w:rsid w:val="00DA4576"/>
    <w:rsid w:val="00DC0662"/>
    <w:rsid w:val="00DE7EE8"/>
    <w:rsid w:val="00E14870"/>
    <w:rsid w:val="00E43A27"/>
    <w:rsid w:val="00E60629"/>
    <w:rsid w:val="00E73265"/>
    <w:rsid w:val="00E93530"/>
    <w:rsid w:val="00EB3469"/>
    <w:rsid w:val="00EC2C30"/>
    <w:rsid w:val="00EC3065"/>
    <w:rsid w:val="00ED16DA"/>
    <w:rsid w:val="00EE7CB0"/>
    <w:rsid w:val="00EF34E1"/>
    <w:rsid w:val="00F03D0D"/>
    <w:rsid w:val="00F06190"/>
    <w:rsid w:val="00F16EC2"/>
    <w:rsid w:val="00F22715"/>
    <w:rsid w:val="00F27CC9"/>
    <w:rsid w:val="00F27DFA"/>
    <w:rsid w:val="00F328ED"/>
    <w:rsid w:val="00F40951"/>
    <w:rsid w:val="00F46FE1"/>
    <w:rsid w:val="00F905E6"/>
    <w:rsid w:val="00F95227"/>
    <w:rsid w:val="00FB4BB4"/>
    <w:rsid w:val="00FB5432"/>
    <w:rsid w:val="00FC1157"/>
    <w:rsid w:val="00FD1C0D"/>
    <w:rsid w:val="00FF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FC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rPr>
      <w:sz w:val="22"/>
    </w:rPr>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customStyle="1" w:styleId="Document1">
    <w:name w:val="Document 1"/>
    <w:pPr>
      <w:keepNext/>
      <w:keepLines/>
      <w:widowControl w:val="0"/>
      <w:tabs>
        <w:tab w:val="left" w:pos="-720"/>
      </w:tabs>
      <w:suppressAutoHyphens/>
    </w:pPr>
    <w:rPr>
      <w:rFonts w:ascii="Bookman Old Style" w:hAnsi="Bookman Old Style"/>
      <w:sz w:val="515"/>
    </w:rPr>
  </w:style>
  <w:style w:type="character" w:customStyle="1" w:styleId="Document2">
    <w:name w:val="Document 2"/>
    <w:rPr>
      <w:rFonts w:ascii="Bookman Old Style" w:hAnsi="Bookman Old Style"/>
      <w:noProof w:val="0"/>
      <w:sz w:val="515"/>
      <w:lang w:val="en-US"/>
    </w:rPr>
  </w:style>
  <w:style w:type="character" w:customStyle="1" w:styleId="Document3">
    <w:name w:val="Document 3"/>
    <w:rPr>
      <w:rFonts w:ascii="Bookman Old Style" w:hAnsi="Bookman Old Style"/>
      <w:noProof w:val="0"/>
      <w:sz w:val="515"/>
      <w:lang w:val="en-US"/>
    </w:rPr>
  </w:style>
  <w:style w:type="character" w:customStyle="1" w:styleId="Document4">
    <w:name w:val="Document 4"/>
    <w:rPr>
      <w:b/>
      <w:i/>
      <w:sz w:val="515"/>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Bookman Old Style" w:hAnsi="Bookman Old Style"/>
      <w:noProof w:val="0"/>
      <w:sz w:val="515"/>
      <w:lang w:val="en-US"/>
    </w:rPr>
  </w:style>
  <w:style w:type="character" w:customStyle="1" w:styleId="Technical2">
    <w:name w:val="Technical 2"/>
    <w:rPr>
      <w:rFonts w:ascii="Bookman Old Style" w:hAnsi="Bookman Old Style"/>
      <w:noProof w:val="0"/>
      <w:sz w:val="515"/>
      <w:lang w:val="en-US"/>
    </w:rPr>
  </w:style>
  <w:style w:type="character" w:customStyle="1" w:styleId="Technical3">
    <w:name w:val="Technical 3"/>
    <w:rPr>
      <w:rFonts w:ascii="Bookman Old Style" w:hAnsi="Bookman Old Style"/>
      <w:noProof w:val="0"/>
      <w:sz w:val="515"/>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efaultPara">
    <w:name w:val="Default Para"/>
    <w:rPr>
      <w:rFonts w:ascii="Bookman Old Style" w:hAnsi="Bookman Old Style"/>
      <w:noProof w:val="0"/>
      <w:sz w:val="515"/>
      <w:lang w:val="en-US"/>
    </w:rPr>
  </w:style>
  <w:style w:type="character" w:customStyle="1" w:styleId="1">
    <w:name w:val="1"/>
    <w:rPr>
      <w:rFonts w:ascii="CG Times" w:hAnsi="CG Times"/>
      <w:noProof w:val="0"/>
      <w:sz w:val="24"/>
      <w:lang w:val="en-US"/>
    </w:rPr>
  </w:style>
  <w:style w:type="character" w:customStyle="1" w:styleId="11">
    <w:name w:val="11"/>
    <w:rPr>
      <w:rFonts w:ascii="Times" w:hAnsi="Times"/>
      <w:noProof w:val="0"/>
      <w:sz w:val="20"/>
      <w:lang w:val="en-US"/>
    </w:rPr>
  </w:style>
  <w:style w:type="character" w:customStyle="1" w:styleId="MACNormal1">
    <w:name w:val="MACNormal1"/>
    <w:rPr>
      <w:rFonts w:ascii="Times" w:hAnsi="Times"/>
      <w:noProof w:val="0"/>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Bookman Old Style" w:hAnsi="Bookman Old Style"/>
      <w:noProof w:val="0"/>
      <w:sz w:val="515"/>
      <w:lang w:val="en-US"/>
    </w:rPr>
  </w:style>
  <w:style w:type="paragraph" w:styleId="ListNumber">
    <w:name w:val="List Number"/>
    <w:basedOn w:val="Normal"/>
    <w:pPr>
      <w:tabs>
        <w:tab w:val="left" w:pos="-720"/>
      </w:tabs>
      <w:suppressAutoHyphens/>
    </w:p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515"/>
    </w:rPr>
  </w:style>
  <w:style w:type="paragraph" w:styleId="Footer">
    <w:name w:val="footer"/>
    <w:basedOn w:val="Normal"/>
    <w:pPr>
      <w:tabs>
        <w:tab w:val="left" w:pos="0"/>
        <w:tab w:val="center" w:pos="4320"/>
        <w:tab w:val="right" w:pos="8640"/>
      </w:tabs>
      <w:suppressAutoHyphens/>
    </w:p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man Old Style" w:hAnsi="Bookman Old Style"/>
      <w:sz w:val="515"/>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man Old Style" w:hAnsi="Bookman Old Style"/>
      <w:sz w:val="515"/>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man Old Style" w:hAnsi="Bookman Old Style"/>
      <w:sz w:val="515"/>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man Old Style" w:hAnsi="Bookman Old Style"/>
      <w:sz w:val="515"/>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man Old Style" w:hAnsi="Bookman Old Style"/>
      <w:sz w:val="515"/>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man Old Style" w:hAnsi="Bookman Old Style"/>
      <w:sz w:val="515"/>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man Old Style" w:hAnsi="Bookman Old Style"/>
      <w:sz w:val="515"/>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man Old Style" w:hAnsi="Bookman Old Style"/>
      <w:sz w:val="515"/>
    </w:rPr>
  </w:style>
  <w:style w:type="paragraph" w:customStyle="1" w:styleId="Document1a">
    <w:name w:val="Document 1a"/>
    <w:pPr>
      <w:keepNext/>
      <w:keepLines/>
      <w:widowControl w:val="0"/>
      <w:tabs>
        <w:tab w:val="left" w:pos="-720"/>
      </w:tabs>
      <w:suppressAutoHyphens/>
    </w:pPr>
    <w:rPr>
      <w:rFonts w:ascii="Bookman Old Style" w:hAnsi="Bookman Old Style"/>
      <w:sz w:val="515"/>
    </w:rPr>
  </w:style>
  <w:style w:type="paragraph" w:customStyle="1" w:styleId="Technical5a">
    <w:name w:val="Technical 5a"/>
    <w:pPr>
      <w:widowControl w:val="0"/>
      <w:tabs>
        <w:tab w:val="left" w:pos="-720"/>
      </w:tabs>
      <w:suppressAutoHyphens/>
    </w:pPr>
    <w:rPr>
      <w:rFonts w:ascii="Bookman Old Style" w:hAnsi="Bookman Old Style"/>
      <w:b/>
      <w:sz w:val="515"/>
    </w:rPr>
  </w:style>
  <w:style w:type="paragraph" w:customStyle="1" w:styleId="Technical6a">
    <w:name w:val="Technical 6a"/>
    <w:pPr>
      <w:widowControl w:val="0"/>
      <w:tabs>
        <w:tab w:val="left" w:pos="-720"/>
      </w:tabs>
      <w:suppressAutoHyphens/>
    </w:pPr>
    <w:rPr>
      <w:rFonts w:ascii="Bookman Old Style" w:hAnsi="Bookman Old Style"/>
      <w:b/>
      <w:sz w:val="515"/>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man Old Style" w:hAnsi="Bookman Old Style"/>
      <w:b/>
      <w:sz w:val="515"/>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man Old Style" w:hAnsi="Bookman Old Style"/>
      <w:b/>
      <w:sz w:val="515"/>
    </w:rPr>
  </w:style>
  <w:style w:type="paragraph" w:customStyle="1" w:styleId="Technical8a">
    <w:name w:val="Technical 8a"/>
    <w:pPr>
      <w:widowControl w:val="0"/>
      <w:tabs>
        <w:tab w:val="left" w:pos="-720"/>
      </w:tabs>
      <w:suppressAutoHyphens/>
    </w:pPr>
    <w:rPr>
      <w:rFonts w:ascii="Bookman Old Style" w:hAnsi="Bookman Old Style"/>
      <w:b/>
      <w:sz w:val="515"/>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rPr>
      <w:sz w:val="24"/>
    </w:rPr>
  </w:style>
  <w:style w:type="paragraph" w:styleId="DocumentMap">
    <w:name w:val="Document Map"/>
    <w:basedOn w:val="Normal"/>
    <w:semiHidden/>
    <w:pPr>
      <w:shd w:val="clear" w:color="auto" w:fill="000080"/>
    </w:pPr>
    <w:rPr>
      <w:rFonts w:ascii="Tahoma" w:hAnsi="Tahoma"/>
    </w:rPr>
  </w:style>
  <w:style w:type="character" w:customStyle="1" w:styleId="DeltaViewDeletion">
    <w:name w:val="DeltaView Deletion"/>
    <w:rsid w:val="00CC0821"/>
    <w:rPr>
      <w:strike/>
      <w:color w:val="FF0000"/>
      <w:spacing w:val="0"/>
    </w:rPr>
  </w:style>
  <w:style w:type="paragraph" w:styleId="BodyTextIndent">
    <w:name w:val="Body Text Indent"/>
    <w:basedOn w:val="Normal"/>
    <w:rsid w:val="009B5314"/>
    <w:pPr>
      <w:tabs>
        <w:tab w:val="left" w:pos="-720"/>
        <w:tab w:val="left" w:pos="0"/>
      </w:tabs>
      <w:ind w:left="2880" w:hanging="2160"/>
    </w:pPr>
  </w:style>
  <w:style w:type="paragraph" w:styleId="BodyTextIndent2">
    <w:name w:val="Body Text Indent 2"/>
    <w:basedOn w:val="Normal"/>
    <w:rsid w:val="004760D7"/>
    <w:pPr>
      <w:spacing w:after="120" w:line="480" w:lineRule="auto"/>
      <w:ind w:left="360"/>
    </w:pPr>
  </w:style>
  <w:style w:type="character" w:customStyle="1" w:styleId="DeltaViewInsertion">
    <w:name w:val="DeltaView Insertion"/>
    <w:uiPriority w:val="99"/>
    <w:rsid w:val="004760D7"/>
    <w:rPr>
      <w:color w:val="0000FF"/>
      <w:spacing w:val="0"/>
      <w:u w:val="double"/>
    </w:rPr>
  </w:style>
  <w:style w:type="paragraph" w:styleId="BalloonText">
    <w:name w:val="Balloon Text"/>
    <w:basedOn w:val="Normal"/>
    <w:semiHidden/>
    <w:rsid w:val="00710010"/>
    <w:rPr>
      <w:rFonts w:ascii="Tahoma" w:hAnsi="Tahoma" w:cs="Tahoma"/>
      <w:sz w:val="16"/>
      <w:szCs w:val="16"/>
    </w:rPr>
  </w:style>
  <w:style w:type="table" w:styleId="TableGrid">
    <w:name w:val="Table Grid"/>
    <w:basedOn w:val="TableNormal"/>
    <w:rsid w:val="00E4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C0E46"/>
    <w:rPr>
      <w:sz w:val="24"/>
    </w:rPr>
  </w:style>
  <w:style w:type="paragraph" w:styleId="ListParagraph">
    <w:name w:val="List Paragraph"/>
    <w:basedOn w:val="Normal"/>
    <w:uiPriority w:val="34"/>
    <w:qFormat/>
    <w:rsid w:val="00B6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6103.HYARM (SOFR)</vt:lpstr>
    </vt:vector>
  </TitlesOfParts>
  <Manager/>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6103.HYARM (SOFR)</dc:title>
  <dc:subject>Schedule of Interest Rate Type Provisions (Hybrid ARM (SOFR))</dc:subject>
  <dc:creator/>
  <cp:keywords/>
  <dc:description/>
  <cp:lastModifiedBy/>
  <cp:revision>1</cp:revision>
  <dcterms:created xsi:type="dcterms:W3CDTF">2020-08-22T21:07:00Z</dcterms:created>
  <dcterms:modified xsi:type="dcterms:W3CDTF">2020-08-22T21:08:00Z</dcterms:modified>
  <cp:category/>
</cp:coreProperties>
</file>