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9CF" w:rsidRPr="0040522F" w:rsidRDefault="006B49CF" w:rsidP="006B49CF">
      <w:pPr>
        <w:jc w:val="center"/>
        <w:rPr>
          <w:rFonts w:ascii="Times New Roman" w:hAnsi="Times New Roman"/>
          <w:b/>
        </w:rPr>
      </w:pPr>
      <w:bookmarkStart w:id="0" w:name="OLE_LINK9"/>
      <w:bookmarkStart w:id="1" w:name="OLE_LINK10"/>
      <w:bookmarkStart w:id="2" w:name="_GoBack"/>
      <w:bookmarkEnd w:id="2"/>
      <w:r w:rsidRPr="0055491A">
        <w:rPr>
          <w:rFonts w:ascii="Times New Roman" w:hAnsi="Times New Roman"/>
          <w:b/>
        </w:rPr>
        <w:t>A</w:t>
      </w:r>
      <w:r w:rsidR="0040522F">
        <w:rPr>
          <w:rFonts w:ascii="Times New Roman Bold" w:hAnsi="Times New Roman Bold"/>
          <w:b/>
          <w:smallCaps/>
        </w:rPr>
        <w:t>pprais</w:t>
      </w:r>
      <w:r w:rsidR="00E14DC9">
        <w:rPr>
          <w:rFonts w:ascii="Times New Roman Bold" w:hAnsi="Times New Roman Bold"/>
          <w:b/>
          <w:smallCaps/>
        </w:rPr>
        <w:t>er</w:t>
      </w:r>
      <w:r w:rsidR="0040522F">
        <w:rPr>
          <w:rFonts w:ascii="Times New Roman Bold" w:hAnsi="Times New Roman Bold"/>
          <w:b/>
          <w:smallCaps/>
        </w:rPr>
        <w:t xml:space="preserve"> Engagement Instructions</w:t>
      </w:r>
    </w:p>
    <w:bookmarkEnd w:id="0"/>
    <w:bookmarkEnd w:id="1"/>
    <w:p w:rsidR="0040522F" w:rsidRPr="0040522F" w:rsidRDefault="0040522F" w:rsidP="006B49CF">
      <w:pPr>
        <w:jc w:val="center"/>
        <w:rPr>
          <w:rFonts w:ascii="Times New Roman" w:hAnsi="Times New Roman"/>
        </w:rPr>
      </w:pPr>
      <w:r w:rsidRPr="0040522F">
        <w:rPr>
          <w:rFonts w:ascii="Times New Roman" w:hAnsi="Times New Roman"/>
          <w:b/>
        </w:rPr>
        <w:t>[To be attached to Lender’s Appraiser Engagement Agreement]</w:t>
      </w:r>
    </w:p>
    <w:p w:rsidR="006B49CF" w:rsidRDefault="006B49CF" w:rsidP="006B49CF">
      <w:pPr>
        <w:jc w:val="both"/>
        <w:rPr>
          <w:rFonts w:ascii="Times New Roman" w:hAnsi="Times New Roman"/>
        </w:rPr>
      </w:pPr>
    </w:p>
    <w:p w:rsidR="00AD50FA" w:rsidRPr="00F2276A" w:rsidRDefault="00AD50FA" w:rsidP="00AD50FA">
      <w:pPr>
        <w:jc w:val="center"/>
        <w:rPr>
          <w:rFonts w:ascii="Times New Roman" w:hAnsi="Times New Roman"/>
          <w:b/>
          <w:sz w:val="22"/>
          <w:szCs w:val="22"/>
        </w:rPr>
      </w:pPr>
      <w:r w:rsidRPr="00F2276A">
        <w:rPr>
          <w:rFonts w:ascii="Times New Roman" w:hAnsi="Times New Roman"/>
          <w:b/>
          <w:sz w:val="22"/>
          <w:szCs w:val="22"/>
        </w:rPr>
        <w:t>Multifamily Appraisal General Requirements</w:t>
      </w:r>
    </w:p>
    <w:p w:rsidR="00AD50FA" w:rsidRPr="00F2276A" w:rsidRDefault="00AD50FA" w:rsidP="00AD50FA">
      <w:pPr>
        <w:jc w:val="both"/>
        <w:rPr>
          <w:rFonts w:ascii="Times New Roman" w:hAnsi="Times New Roman"/>
          <w:sz w:val="22"/>
          <w:szCs w:val="22"/>
        </w:rPr>
      </w:pPr>
    </w:p>
    <w:p w:rsidR="00AD50FA" w:rsidRPr="00F2276A" w:rsidRDefault="00AD50FA" w:rsidP="00AD50FA">
      <w:pPr>
        <w:tabs>
          <w:tab w:val="left" w:pos="-720"/>
        </w:tabs>
        <w:suppressAutoHyphens/>
        <w:spacing w:line="276" w:lineRule="auto"/>
        <w:jc w:val="both"/>
        <w:rPr>
          <w:rStyle w:val="DeltaViewInsertion"/>
          <w:rFonts w:ascii="Times New Roman" w:hAnsi="Times New Roman"/>
          <w:color w:val="auto"/>
          <w:sz w:val="22"/>
          <w:szCs w:val="22"/>
          <w:u w:val="none"/>
        </w:rPr>
      </w:pPr>
      <w:r w:rsidRPr="00F2276A">
        <w:rPr>
          <w:rStyle w:val="DeltaViewInsertion"/>
          <w:rFonts w:ascii="Times New Roman" w:hAnsi="Times New Roman"/>
          <w:color w:val="auto"/>
          <w:sz w:val="22"/>
          <w:szCs w:val="22"/>
          <w:u w:val="none"/>
        </w:rPr>
        <w:t xml:space="preserve">All multifamily appraisals </w:t>
      </w:r>
      <w:r>
        <w:rPr>
          <w:rStyle w:val="DeltaViewInsertion"/>
          <w:rFonts w:ascii="Times New Roman" w:hAnsi="Times New Roman"/>
          <w:color w:val="auto"/>
          <w:sz w:val="22"/>
          <w:szCs w:val="22"/>
          <w:u w:val="none"/>
        </w:rPr>
        <w:t>will</w:t>
      </w:r>
      <w:r w:rsidRPr="00F2276A">
        <w:rPr>
          <w:rStyle w:val="DeltaViewInsertion"/>
          <w:rFonts w:ascii="Times New Roman" w:hAnsi="Times New Roman"/>
          <w:color w:val="auto"/>
          <w:sz w:val="22"/>
          <w:szCs w:val="22"/>
          <w:u w:val="none"/>
        </w:rPr>
        <w:t xml:space="preserve"> be prepared in accordance with the following requirements:</w:t>
      </w:r>
    </w:p>
    <w:p w:rsidR="00AD50FA" w:rsidRPr="00F2276A" w:rsidRDefault="00AD50FA" w:rsidP="00AD50FA">
      <w:pPr>
        <w:tabs>
          <w:tab w:val="left" w:pos="-720"/>
        </w:tabs>
        <w:suppressAutoHyphens/>
        <w:spacing w:line="276" w:lineRule="auto"/>
        <w:jc w:val="both"/>
        <w:rPr>
          <w:rStyle w:val="DeltaViewInsertion"/>
          <w:rFonts w:ascii="Times New Roman" w:hAnsi="Times New Roman"/>
          <w:color w:val="auto"/>
          <w:sz w:val="22"/>
          <w:szCs w:val="22"/>
          <w:u w:val="none"/>
        </w:rPr>
      </w:pPr>
      <w:r w:rsidRPr="00F2276A">
        <w:rPr>
          <w:rStyle w:val="DeltaViewInsertion"/>
          <w:rFonts w:ascii="Times New Roman" w:hAnsi="Times New Roman"/>
          <w:color w:val="auto"/>
          <w:sz w:val="22"/>
          <w:szCs w:val="22"/>
          <w:u w:val="none"/>
        </w:rPr>
        <w:t xml:space="preserve"> </w:t>
      </w:r>
    </w:p>
    <w:p w:rsidR="00AD50FA" w:rsidRPr="00F2276A" w:rsidRDefault="00AD50FA" w:rsidP="00AD50FA">
      <w:pPr>
        <w:pStyle w:val="ListParagraph"/>
        <w:numPr>
          <w:ilvl w:val="0"/>
          <w:numId w:val="10"/>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Property</w:t>
      </w:r>
      <w:r w:rsidRPr="00F2276A">
        <w:rPr>
          <w:rStyle w:val="DeltaViewInsertion"/>
          <w:rFonts w:ascii="Times New Roman" w:hAnsi="Times New Roman"/>
          <w:color w:val="auto"/>
          <w:spacing w:val="-3"/>
          <w:sz w:val="22"/>
          <w:szCs w:val="22"/>
          <w:u w:val="none"/>
        </w:rPr>
        <w:t xml:space="preserve">.  The address and legal description of the Property to be appraised is described </w:t>
      </w:r>
      <w:r w:rsidRPr="001120B5">
        <w:rPr>
          <w:rStyle w:val="DeltaViewInsertion"/>
          <w:rFonts w:ascii="Times New Roman" w:hAnsi="Times New Roman"/>
          <w:color w:val="auto"/>
          <w:spacing w:val="-3"/>
          <w:sz w:val="22"/>
          <w:szCs w:val="22"/>
          <w:u w:val="none"/>
        </w:rPr>
        <w:t xml:space="preserve">in </w:t>
      </w:r>
      <w:r w:rsidRPr="003E06B5">
        <w:rPr>
          <w:rStyle w:val="DeltaViewInsertion"/>
          <w:rFonts w:ascii="Times New Roman" w:hAnsi="Times New Roman"/>
          <w:b/>
          <w:color w:val="auto"/>
          <w:spacing w:val="-3"/>
          <w:sz w:val="22"/>
          <w:szCs w:val="22"/>
          <w:u w:val="none"/>
        </w:rPr>
        <w:t>Exhibit 1</w:t>
      </w:r>
      <w:r w:rsidRPr="003E06B5">
        <w:rPr>
          <w:rStyle w:val="DeltaViewInsertion"/>
          <w:rFonts w:ascii="Times New Roman" w:hAnsi="Times New Roman"/>
          <w:color w:val="auto"/>
          <w:spacing w:val="-3"/>
          <w:sz w:val="22"/>
          <w:szCs w:val="22"/>
          <w:u w:val="none"/>
        </w:rPr>
        <w:t>.</w:t>
      </w:r>
      <w:r>
        <w:rPr>
          <w:rStyle w:val="DeltaViewInsertion"/>
          <w:rFonts w:ascii="Times New Roman" w:hAnsi="Times New Roman"/>
          <w:color w:val="auto"/>
          <w:spacing w:val="-3"/>
          <w:sz w:val="22"/>
          <w:szCs w:val="22"/>
          <w:u w:val="single"/>
        </w:rPr>
        <w:t xml:space="preserve">  </w:t>
      </w:r>
    </w:p>
    <w:p w:rsidR="00AD50FA" w:rsidRPr="00F2276A" w:rsidRDefault="00AD50FA" w:rsidP="00AD50FA">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p>
    <w:p w:rsidR="00AD50FA" w:rsidRPr="00F2276A" w:rsidRDefault="00AD50FA" w:rsidP="00AD50FA">
      <w:pPr>
        <w:pStyle w:val="ListParagraph"/>
        <w:numPr>
          <w:ilvl w:val="0"/>
          <w:numId w:val="10"/>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Professional Standards</w:t>
      </w:r>
      <w:r w:rsidRPr="00F2276A">
        <w:rPr>
          <w:rStyle w:val="DeltaViewInsertion"/>
          <w:rFonts w:ascii="Times New Roman" w:hAnsi="Times New Roman"/>
          <w:color w:val="auto"/>
          <w:spacing w:val="-3"/>
          <w:sz w:val="22"/>
          <w:szCs w:val="22"/>
          <w:u w:val="none"/>
        </w:rPr>
        <w:t xml:space="preserve">. The Appraiser shall develop and report the appraisal in conformance with generally accepted appraisal standards as evidenced by the </w:t>
      </w:r>
      <w:r w:rsidRPr="00F2276A">
        <w:rPr>
          <w:rStyle w:val="DeltaViewInsertion"/>
          <w:rFonts w:ascii="Times New Roman" w:hAnsi="Times New Roman"/>
          <w:i/>
          <w:color w:val="auto"/>
          <w:spacing w:val="-3"/>
          <w:sz w:val="22"/>
          <w:szCs w:val="22"/>
          <w:u w:val="none"/>
        </w:rPr>
        <w:t>Uniform Standards of Professional Appraisal Practice</w:t>
      </w:r>
      <w:r w:rsidRPr="00F2276A">
        <w:rPr>
          <w:rStyle w:val="DeltaViewInsertion"/>
          <w:rFonts w:ascii="Times New Roman" w:hAnsi="Times New Roman"/>
          <w:color w:val="auto"/>
          <w:spacing w:val="-3"/>
          <w:sz w:val="22"/>
          <w:szCs w:val="22"/>
          <w:u w:val="none"/>
        </w:rPr>
        <w:t xml:space="preserve"> (“USPAP”) promulgated by the Appraisal Standards Board of the Appraisal Foundation</w:t>
      </w:r>
      <w:r w:rsidRPr="00F2276A">
        <w:rPr>
          <w:rStyle w:val="DeltaViewInsertion"/>
          <w:rFonts w:ascii="Times New Roman" w:hAnsi="Times New Roman"/>
          <w:color w:val="auto"/>
          <w:sz w:val="22"/>
          <w:szCs w:val="22"/>
          <w:u w:val="none"/>
        </w:rPr>
        <w:t>. The Appraisal R</w:t>
      </w:r>
      <w:r w:rsidRPr="00F2276A">
        <w:rPr>
          <w:rStyle w:val="DeltaViewInsertion"/>
          <w:rFonts w:ascii="Times New Roman" w:hAnsi="Times New Roman"/>
          <w:color w:val="auto"/>
          <w:spacing w:val="-3"/>
          <w:sz w:val="22"/>
          <w:szCs w:val="22"/>
          <w:u w:val="none"/>
        </w:rPr>
        <w:t xml:space="preserve">eport must include a </w:t>
      </w:r>
      <w:r w:rsidRPr="0042452E">
        <w:rPr>
          <w:rStyle w:val="DeltaViewInsertion"/>
          <w:rFonts w:ascii="Times New Roman" w:hAnsi="Times New Roman"/>
          <w:color w:val="auto"/>
          <w:spacing w:val="-3"/>
          <w:sz w:val="22"/>
          <w:szCs w:val="22"/>
          <w:u w:val="none"/>
        </w:rPr>
        <w:t>signed certification</w:t>
      </w:r>
      <w:r w:rsidRPr="00F2276A">
        <w:rPr>
          <w:rStyle w:val="DeltaViewInsertion"/>
          <w:rFonts w:ascii="Times New Roman" w:hAnsi="Times New Roman"/>
          <w:color w:val="auto"/>
          <w:spacing w:val="-3"/>
          <w:sz w:val="22"/>
          <w:szCs w:val="22"/>
          <w:u w:val="none"/>
        </w:rPr>
        <w:t xml:space="preserve"> that the Appraiser has complied with USPAP.</w:t>
      </w:r>
    </w:p>
    <w:p w:rsidR="00AD50FA" w:rsidRPr="00F2276A" w:rsidRDefault="00AD50FA" w:rsidP="00AD50FA">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AD50FA" w:rsidRPr="00F2276A" w:rsidRDefault="00AD50FA" w:rsidP="00AD50FA">
      <w:pPr>
        <w:pStyle w:val="ListParagraph"/>
        <w:numPr>
          <w:ilvl w:val="0"/>
          <w:numId w:val="10"/>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z w:val="22"/>
          <w:szCs w:val="22"/>
          <w:u w:val="single"/>
        </w:rPr>
        <w:t>Regulatory Compliance</w:t>
      </w:r>
      <w:r w:rsidRPr="00F2276A">
        <w:rPr>
          <w:rStyle w:val="DeltaViewInsertion"/>
          <w:rFonts w:ascii="Times New Roman" w:hAnsi="Times New Roman"/>
          <w:color w:val="auto"/>
          <w:sz w:val="22"/>
          <w:szCs w:val="22"/>
          <w:u w:val="none"/>
        </w:rPr>
        <w:t>. The Appraiser</w:t>
      </w:r>
      <w:r w:rsidRPr="00F2276A">
        <w:rPr>
          <w:rStyle w:val="DeltaViewInsertion"/>
          <w:rFonts w:ascii="Times New Roman" w:hAnsi="Times New Roman"/>
          <w:color w:val="auto"/>
          <w:spacing w:val="-3"/>
          <w:sz w:val="22"/>
          <w:szCs w:val="22"/>
          <w:u w:val="none"/>
        </w:rPr>
        <w:t xml:space="preserve"> shall develop and report the appraisal in conformance with the regulations adopted under Title XI of the </w:t>
      </w:r>
      <w:r w:rsidRPr="00F2276A">
        <w:rPr>
          <w:rStyle w:val="DeltaViewInsertion"/>
          <w:rFonts w:ascii="Times New Roman" w:hAnsi="Times New Roman"/>
          <w:i/>
          <w:color w:val="auto"/>
          <w:spacing w:val="-3"/>
          <w:sz w:val="22"/>
          <w:szCs w:val="22"/>
          <w:u w:val="none"/>
        </w:rPr>
        <w:t xml:space="preserve">Financial Institutions Reform, Recovery and Enforcement Act of 1989 </w:t>
      </w:r>
      <w:r w:rsidRPr="00F2276A">
        <w:rPr>
          <w:rStyle w:val="DeltaViewInsertion"/>
          <w:rFonts w:ascii="Times New Roman" w:hAnsi="Times New Roman"/>
          <w:color w:val="auto"/>
          <w:spacing w:val="-3"/>
          <w:sz w:val="22"/>
          <w:szCs w:val="22"/>
          <w:u w:val="none"/>
        </w:rPr>
        <w:t>(“FIRREA”). Guidance applicable to specific situations can be found in USPAP Advisory Opinion AO-30 (Appraisal for Use by a Federally Regulated Financial Institution).</w:t>
      </w:r>
    </w:p>
    <w:p w:rsidR="00AD50FA" w:rsidRPr="00F2276A" w:rsidRDefault="00AD50FA" w:rsidP="00AD50FA">
      <w:pPr>
        <w:pStyle w:val="ListParagraph"/>
        <w:rPr>
          <w:rStyle w:val="DeltaViewInsertion"/>
          <w:rFonts w:ascii="Times New Roman" w:hAnsi="Times New Roman"/>
          <w:color w:val="auto"/>
          <w:spacing w:val="-3"/>
          <w:sz w:val="22"/>
          <w:szCs w:val="22"/>
          <w:u w:val="none"/>
        </w:rPr>
      </w:pPr>
    </w:p>
    <w:p w:rsidR="00AD50FA" w:rsidRPr="00F2276A" w:rsidRDefault="00AD50FA" w:rsidP="00AD50FA">
      <w:pPr>
        <w:pStyle w:val="ListParagraph"/>
        <w:numPr>
          <w:ilvl w:val="0"/>
          <w:numId w:val="10"/>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Appraiser Qualifications</w:t>
      </w:r>
      <w:r w:rsidRPr="00F2276A">
        <w:rPr>
          <w:rStyle w:val="DeltaViewInsertion"/>
          <w:rFonts w:ascii="Times New Roman" w:hAnsi="Times New Roman"/>
          <w:color w:val="auto"/>
          <w:spacing w:val="-3"/>
          <w:sz w:val="22"/>
          <w:szCs w:val="22"/>
          <w:u w:val="none"/>
        </w:rPr>
        <w:t xml:space="preserve">. The Appraisal Report </w:t>
      </w:r>
      <w:r w:rsidRPr="0042452E">
        <w:rPr>
          <w:rStyle w:val="DeltaViewInsertion"/>
          <w:rFonts w:ascii="Times New Roman" w:hAnsi="Times New Roman"/>
          <w:color w:val="auto"/>
          <w:spacing w:val="-3"/>
          <w:sz w:val="22"/>
          <w:szCs w:val="22"/>
          <w:u w:val="none"/>
        </w:rPr>
        <w:t>shall</w:t>
      </w:r>
      <w:r w:rsidRPr="00F2276A">
        <w:rPr>
          <w:rStyle w:val="DeltaViewInsertion"/>
          <w:rFonts w:ascii="Times New Roman" w:hAnsi="Times New Roman"/>
          <w:color w:val="auto"/>
          <w:spacing w:val="-3"/>
          <w:sz w:val="22"/>
          <w:szCs w:val="22"/>
          <w:u w:val="none"/>
        </w:rPr>
        <w:t xml:space="preserve"> include the qualifications of the professionals performing the Services. The Appraiser must have demonstrated competency in compliance with USPAP and FIRREA in conducting appraisals of multifamily properties of the requested type. </w:t>
      </w:r>
    </w:p>
    <w:p w:rsidR="00AD50FA" w:rsidRPr="00F2276A" w:rsidRDefault="00AD50FA" w:rsidP="00AD50FA">
      <w:pPr>
        <w:pStyle w:val="ListParagraph"/>
        <w:rPr>
          <w:rStyle w:val="DeltaViewInsertion"/>
          <w:rFonts w:ascii="Times New Roman" w:hAnsi="Times New Roman"/>
          <w:color w:val="auto"/>
          <w:spacing w:val="-3"/>
          <w:sz w:val="22"/>
          <w:szCs w:val="22"/>
          <w:u w:val="none"/>
        </w:rPr>
      </w:pPr>
    </w:p>
    <w:p w:rsidR="00AD50FA" w:rsidRPr="00F2276A" w:rsidRDefault="00AD50FA" w:rsidP="00AD50FA">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none"/>
        </w:rPr>
        <w:t xml:space="preserve">When applicable, the Appraiser should set forth their qualifications in preparing appraisals of properties with </w:t>
      </w:r>
      <w:r w:rsidRPr="00F2276A">
        <w:rPr>
          <w:rFonts w:ascii="Times New Roman" w:hAnsi="Times New Roman"/>
          <w:spacing w:val="-3"/>
          <w:sz w:val="22"/>
          <w:szCs w:val="22"/>
        </w:rPr>
        <w:t xml:space="preserve">Land Use Restriction Agreements (“LURA”), </w:t>
      </w:r>
      <w:r w:rsidRPr="00F2276A">
        <w:rPr>
          <w:rStyle w:val="DeltaViewInsertion"/>
          <w:rFonts w:ascii="Times New Roman" w:hAnsi="Times New Roman"/>
          <w:color w:val="auto"/>
          <w:spacing w:val="-3"/>
          <w:sz w:val="22"/>
          <w:szCs w:val="22"/>
          <w:u w:val="none"/>
        </w:rPr>
        <w:t xml:space="preserve">Low-Income Housing Tax Credits (“LIHTC”) or other Tax Credits, </w:t>
      </w:r>
      <w:r w:rsidRPr="00F2276A">
        <w:rPr>
          <w:rFonts w:ascii="Times New Roman" w:hAnsi="Times New Roman"/>
          <w:spacing w:val="-3"/>
          <w:sz w:val="22"/>
          <w:szCs w:val="22"/>
        </w:rPr>
        <w:t>and other affordable housing, tenancy or rent restrictions</w:t>
      </w:r>
      <w:r w:rsidRPr="00F2276A">
        <w:rPr>
          <w:rStyle w:val="DeltaViewInsertion"/>
          <w:rFonts w:ascii="Times New Roman" w:hAnsi="Times New Roman"/>
          <w:color w:val="auto"/>
          <w:spacing w:val="-3"/>
          <w:sz w:val="22"/>
          <w:szCs w:val="22"/>
          <w:u w:val="none"/>
        </w:rPr>
        <w:t xml:space="preserve">. </w:t>
      </w:r>
      <w:r w:rsidRPr="00F2276A">
        <w:rPr>
          <w:rFonts w:ascii="Times New Roman" w:hAnsi="Times New Roman"/>
          <w:sz w:val="22"/>
          <w:szCs w:val="22"/>
        </w:rPr>
        <w:t xml:space="preserve">When applicable, the Appraiser should set forth their qualifications in preparing valuations of unused Tax Credit </w:t>
      </w:r>
      <w:r w:rsidRPr="00F2276A">
        <w:rPr>
          <w:rFonts w:ascii="Times New Roman" w:hAnsi="Times New Roman"/>
          <w:spacing w:val="-3"/>
          <w:sz w:val="22"/>
          <w:szCs w:val="22"/>
        </w:rPr>
        <w:t>that would survive any foreclosure sale and re-sale of the Property</w:t>
      </w:r>
      <w:r w:rsidRPr="00F2276A">
        <w:rPr>
          <w:rFonts w:ascii="Times New Roman" w:hAnsi="Times New Roman"/>
          <w:sz w:val="22"/>
          <w:szCs w:val="22"/>
        </w:rPr>
        <w:t>.</w:t>
      </w:r>
    </w:p>
    <w:p w:rsidR="00AD50FA" w:rsidRPr="00F2276A" w:rsidRDefault="00AD50FA" w:rsidP="00AD50FA">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AD50FA" w:rsidRPr="00F2276A" w:rsidRDefault="00AD50FA" w:rsidP="00AD50FA">
      <w:pPr>
        <w:pStyle w:val="ListParagraph"/>
        <w:numPr>
          <w:ilvl w:val="0"/>
          <w:numId w:val="10"/>
        </w:num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Purpose</w:t>
      </w:r>
      <w:r w:rsidRPr="001120B5">
        <w:rPr>
          <w:rFonts w:ascii="Times New Roman" w:hAnsi="Times New Roman"/>
          <w:spacing w:val="-3"/>
          <w:sz w:val="22"/>
          <w:szCs w:val="22"/>
        </w:rPr>
        <w:t xml:space="preserve">. The purpose of the </w:t>
      </w:r>
      <w:r w:rsidR="009B612C">
        <w:rPr>
          <w:rFonts w:ascii="Times New Roman" w:hAnsi="Times New Roman"/>
          <w:spacing w:val="-3"/>
          <w:sz w:val="22"/>
          <w:szCs w:val="22"/>
        </w:rPr>
        <w:t>A</w:t>
      </w:r>
      <w:r w:rsidRPr="001120B5">
        <w:rPr>
          <w:rFonts w:ascii="Times New Roman" w:hAnsi="Times New Roman"/>
          <w:spacing w:val="-3"/>
          <w:sz w:val="22"/>
          <w:szCs w:val="22"/>
        </w:rPr>
        <w:t>ppraisal</w:t>
      </w:r>
      <w:r w:rsidR="009B612C">
        <w:rPr>
          <w:rFonts w:ascii="Times New Roman" w:hAnsi="Times New Roman"/>
          <w:spacing w:val="-3"/>
          <w:sz w:val="22"/>
          <w:szCs w:val="22"/>
        </w:rPr>
        <w:t xml:space="preserve"> Report</w:t>
      </w:r>
      <w:r w:rsidRPr="001120B5">
        <w:rPr>
          <w:rFonts w:ascii="Times New Roman" w:hAnsi="Times New Roman"/>
          <w:spacing w:val="-3"/>
          <w:sz w:val="22"/>
          <w:szCs w:val="22"/>
        </w:rPr>
        <w:t xml:space="preserve"> is to determine the </w:t>
      </w:r>
      <w:r w:rsidR="009B612C">
        <w:rPr>
          <w:rFonts w:ascii="Times New Roman" w:hAnsi="Times New Roman"/>
          <w:spacing w:val="-3"/>
          <w:sz w:val="22"/>
          <w:szCs w:val="22"/>
        </w:rPr>
        <w:t>M</w:t>
      </w:r>
      <w:r w:rsidRPr="001120B5">
        <w:rPr>
          <w:rFonts w:ascii="Times New Roman" w:hAnsi="Times New Roman"/>
          <w:spacing w:val="-3"/>
          <w:sz w:val="22"/>
          <w:szCs w:val="22"/>
        </w:rPr>
        <w:t xml:space="preserve">arket </w:t>
      </w:r>
      <w:r w:rsidR="009B612C">
        <w:rPr>
          <w:rFonts w:ascii="Times New Roman" w:hAnsi="Times New Roman"/>
          <w:spacing w:val="-3"/>
          <w:sz w:val="22"/>
          <w:szCs w:val="22"/>
        </w:rPr>
        <w:t>V</w:t>
      </w:r>
      <w:r w:rsidRPr="001120B5">
        <w:rPr>
          <w:rFonts w:ascii="Times New Roman" w:hAnsi="Times New Roman"/>
          <w:spacing w:val="-3"/>
          <w:sz w:val="22"/>
          <w:szCs w:val="22"/>
        </w:rPr>
        <w:t xml:space="preserve">alue of the ownership interest in the Property as of the </w:t>
      </w:r>
      <w:r w:rsidR="009B612C">
        <w:rPr>
          <w:rFonts w:ascii="Times New Roman" w:hAnsi="Times New Roman"/>
          <w:spacing w:val="-3"/>
          <w:sz w:val="22"/>
          <w:szCs w:val="22"/>
        </w:rPr>
        <w:t>E</w:t>
      </w:r>
      <w:r w:rsidRPr="001120B5">
        <w:rPr>
          <w:rFonts w:ascii="Times New Roman" w:hAnsi="Times New Roman"/>
          <w:spacing w:val="-3"/>
          <w:sz w:val="22"/>
          <w:szCs w:val="22"/>
        </w:rPr>
        <w:t xml:space="preserve">ffective </w:t>
      </w:r>
      <w:r w:rsidR="009B612C">
        <w:rPr>
          <w:rFonts w:ascii="Times New Roman" w:hAnsi="Times New Roman"/>
          <w:spacing w:val="-3"/>
          <w:sz w:val="22"/>
          <w:szCs w:val="22"/>
        </w:rPr>
        <w:t>D</w:t>
      </w:r>
      <w:r w:rsidRPr="001120B5">
        <w:rPr>
          <w:rFonts w:ascii="Times New Roman" w:hAnsi="Times New Roman"/>
          <w:spacing w:val="-3"/>
          <w:sz w:val="22"/>
          <w:szCs w:val="22"/>
        </w:rPr>
        <w:t xml:space="preserve">ate of </w:t>
      </w:r>
      <w:r w:rsidR="009B612C">
        <w:rPr>
          <w:rFonts w:ascii="Times New Roman" w:hAnsi="Times New Roman"/>
          <w:spacing w:val="-3"/>
          <w:sz w:val="22"/>
          <w:szCs w:val="22"/>
        </w:rPr>
        <w:t>V</w:t>
      </w:r>
      <w:r w:rsidRPr="001120B5">
        <w:rPr>
          <w:rFonts w:ascii="Times New Roman" w:hAnsi="Times New Roman"/>
          <w:spacing w:val="-3"/>
          <w:sz w:val="22"/>
          <w:szCs w:val="22"/>
        </w:rPr>
        <w:t>alue.</w:t>
      </w:r>
      <w:r w:rsidR="005B79CB">
        <w:rPr>
          <w:rFonts w:ascii="Times New Roman" w:hAnsi="Times New Roman"/>
          <w:color w:val="0070C0"/>
          <w:spacing w:val="-3"/>
          <w:sz w:val="22"/>
          <w:szCs w:val="22"/>
        </w:rPr>
        <w:t xml:space="preserve"> </w:t>
      </w:r>
      <w:r w:rsidRPr="00F2276A">
        <w:rPr>
          <w:rFonts w:ascii="Times New Roman" w:hAnsi="Times New Roman"/>
          <w:spacing w:val="-3"/>
          <w:sz w:val="22"/>
          <w:szCs w:val="22"/>
        </w:rPr>
        <w:t>This estimate will be relied upon by the intended users for decision-making purposes involving business interests in the Property.</w:t>
      </w:r>
      <w:r w:rsidR="005B79CB">
        <w:rPr>
          <w:rFonts w:ascii="Times New Roman" w:hAnsi="Times New Roman"/>
          <w:spacing w:val="-3"/>
          <w:sz w:val="22"/>
          <w:szCs w:val="22"/>
        </w:rPr>
        <w:t xml:space="preserve">  (</w:t>
      </w:r>
      <w:r w:rsidRPr="00F2276A">
        <w:rPr>
          <w:rFonts w:ascii="Times New Roman" w:hAnsi="Times New Roman"/>
          <w:spacing w:val="-3"/>
          <w:sz w:val="22"/>
          <w:szCs w:val="22"/>
        </w:rPr>
        <w:t>Lender</w:t>
      </w:r>
      <w:r w:rsidR="00495BEC">
        <w:rPr>
          <w:rFonts w:ascii="Times New Roman" w:hAnsi="Times New Roman"/>
          <w:spacing w:val="-3"/>
          <w:sz w:val="22"/>
          <w:szCs w:val="22"/>
        </w:rPr>
        <w:t>)</w:t>
      </w:r>
      <w:r w:rsidRPr="00F2276A">
        <w:rPr>
          <w:rFonts w:ascii="Times New Roman" w:hAnsi="Times New Roman"/>
          <w:spacing w:val="-3"/>
          <w:sz w:val="22"/>
          <w:szCs w:val="22"/>
        </w:rPr>
        <w:t xml:space="preserve"> </w:t>
      </w:r>
      <w:r w:rsidR="00495BEC" w:rsidRPr="005B79CB">
        <w:rPr>
          <w:rFonts w:ascii="Times New Roman" w:hAnsi="Times New Roman"/>
          <w:spacing w:val="-3"/>
          <w:sz w:val="22"/>
          <w:szCs w:val="22"/>
        </w:rPr>
        <w:t>has</w:t>
      </w:r>
      <w:r w:rsidR="005B79CB">
        <w:rPr>
          <w:rFonts w:ascii="Times New Roman" w:hAnsi="Times New Roman"/>
          <w:spacing w:val="-3"/>
          <w:sz w:val="22"/>
          <w:szCs w:val="22"/>
        </w:rPr>
        <w:t xml:space="preserve"> </w:t>
      </w:r>
      <w:r w:rsidRPr="00F2276A">
        <w:rPr>
          <w:rFonts w:ascii="Times New Roman" w:hAnsi="Times New Roman"/>
          <w:spacing w:val="-3"/>
          <w:sz w:val="22"/>
          <w:szCs w:val="22"/>
        </w:rPr>
        <w:t xml:space="preserve">a risk position in the transaction and a financial interest in </w:t>
      </w:r>
      <w:r w:rsidRPr="001120B5">
        <w:rPr>
          <w:rFonts w:ascii="Times New Roman" w:hAnsi="Times New Roman"/>
          <w:spacing w:val="-3"/>
          <w:sz w:val="22"/>
          <w:szCs w:val="22"/>
        </w:rPr>
        <w:t>the financing secured by the</w:t>
      </w:r>
      <w:r w:rsidRPr="00F2276A">
        <w:rPr>
          <w:rFonts w:ascii="Times New Roman" w:hAnsi="Times New Roman"/>
          <w:spacing w:val="-3"/>
          <w:sz w:val="22"/>
          <w:szCs w:val="22"/>
        </w:rPr>
        <w:t xml:space="preserve"> Property.</w:t>
      </w:r>
    </w:p>
    <w:p w:rsidR="00AD50FA" w:rsidRPr="00F2276A" w:rsidRDefault="00AD50FA" w:rsidP="00AD50FA">
      <w:pPr>
        <w:pStyle w:val="ListParagraph"/>
        <w:tabs>
          <w:tab w:val="left" w:pos="-720"/>
        </w:tabs>
        <w:suppressAutoHyphens/>
        <w:spacing w:line="276" w:lineRule="auto"/>
        <w:ind w:left="360"/>
        <w:jc w:val="both"/>
        <w:rPr>
          <w:rFonts w:ascii="Times New Roman" w:hAnsi="Times New Roman"/>
          <w:spacing w:val="-3"/>
          <w:sz w:val="22"/>
          <w:szCs w:val="22"/>
        </w:rPr>
      </w:pPr>
    </w:p>
    <w:p w:rsidR="00FB42ED" w:rsidRPr="003E06B5" w:rsidRDefault="00FB42ED" w:rsidP="003E06B5">
      <w:pPr>
        <w:pStyle w:val="ListParagraph"/>
        <w:widowControl/>
        <w:numPr>
          <w:ilvl w:val="0"/>
          <w:numId w:val="10"/>
        </w:numPr>
        <w:spacing w:line="276" w:lineRule="auto"/>
        <w:jc w:val="both"/>
        <w:rPr>
          <w:rFonts w:ascii="Times New Roman" w:hAnsi="Times New Roman"/>
          <w:spacing w:val="-3"/>
          <w:sz w:val="22"/>
          <w:szCs w:val="22"/>
        </w:rPr>
      </w:pPr>
      <w:r w:rsidRPr="003E06B5">
        <w:rPr>
          <w:rFonts w:ascii="Times New Roman" w:hAnsi="Times New Roman"/>
          <w:spacing w:val="-3"/>
          <w:sz w:val="22"/>
          <w:szCs w:val="22"/>
          <w:u w:val="single"/>
        </w:rPr>
        <w:t>Appraisal Premise</w:t>
      </w:r>
      <w:r w:rsidRPr="003E06B5">
        <w:rPr>
          <w:rFonts w:ascii="Times New Roman" w:hAnsi="Times New Roman"/>
          <w:spacing w:val="-3"/>
          <w:sz w:val="22"/>
          <w:szCs w:val="22"/>
        </w:rPr>
        <w:t>. The</w:t>
      </w:r>
      <w:r w:rsidR="00A07A59">
        <w:rPr>
          <w:rFonts w:ascii="Times New Roman" w:hAnsi="Times New Roman"/>
          <w:spacing w:val="-3"/>
          <w:sz w:val="22"/>
          <w:szCs w:val="22"/>
        </w:rPr>
        <w:t xml:space="preserve"> Appraiser shall determine the Market V</w:t>
      </w:r>
      <w:r w:rsidRPr="003E06B5">
        <w:rPr>
          <w:rFonts w:ascii="Times New Roman" w:hAnsi="Times New Roman"/>
          <w:spacing w:val="-3"/>
          <w:sz w:val="22"/>
          <w:szCs w:val="22"/>
        </w:rPr>
        <w:t xml:space="preserve">alue of the Property in its “As Is” condition as of the Effective Date of Value. For purposes of the Services, “As Is” will mean the estimate of the </w:t>
      </w:r>
      <w:r w:rsidR="00A07A59">
        <w:rPr>
          <w:rFonts w:ascii="Times New Roman" w:hAnsi="Times New Roman"/>
          <w:spacing w:val="-3"/>
          <w:sz w:val="22"/>
          <w:szCs w:val="22"/>
        </w:rPr>
        <w:t>M</w:t>
      </w:r>
      <w:r w:rsidRPr="003E06B5">
        <w:rPr>
          <w:rFonts w:ascii="Times New Roman" w:hAnsi="Times New Roman"/>
          <w:spacing w:val="-3"/>
          <w:sz w:val="22"/>
          <w:szCs w:val="22"/>
        </w:rPr>
        <w:t xml:space="preserve">arket </w:t>
      </w:r>
      <w:r w:rsidR="00A07A59">
        <w:rPr>
          <w:rFonts w:ascii="Times New Roman" w:hAnsi="Times New Roman"/>
          <w:spacing w:val="-3"/>
          <w:sz w:val="22"/>
          <w:szCs w:val="22"/>
        </w:rPr>
        <w:t>V</w:t>
      </w:r>
      <w:r w:rsidRPr="003E06B5">
        <w:rPr>
          <w:rFonts w:ascii="Times New Roman" w:hAnsi="Times New Roman"/>
          <w:spacing w:val="-3"/>
          <w:sz w:val="22"/>
          <w:szCs w:val="22"/>
        </w:rPr>
        <w:t xml:space="preserve">alue of the Property in its current physical condition, use, and zoning as of the Effective Date of Value. </w:t>
      </w:r>
    </w:p>
    <w:p w:rsidR="00FB42ED" w:rsidRDefault="00FB42ED" w:rsidP="00FB42ED">
      <w:pPr>
        <w:pStyle w:val="ListParagraph"/>
        <w:rPr>
          <w:rFonts w:ascii="Times New Roman" w:hAnsi="Times New Roman"/>
          <w:spacing w:val="-3"/>
          <w:sz w:val="22"/>
          <w:szCs w:val="22"/>
        </w:rPr>
      </w:pPr>
    </w:p>
    <w:p w:rsidR="00FB42ED" w:rsidRDefault="00FB42ED" w:rsidP="00FB42ED">
      <w:pPr>
        <w:pStyle w:val="ListParagraph"/>
        <w:spacing w:line="276" w:lineRule="auto"/>
        <w:ind w:left="360"/>
        <w:jc w:val="both"/>
        <w:rPr>
          <w:rFonts w:ascii="Times New Roman" w:hAnsi="Times New Roman"/>
          <w:spacing w:val="-3"/>
          <w:sz w:val="22"/>
          <w:szCs w:val="22"/>
        </w:rPr>
      </w:pPr>
      <w:r>
        <w:rPr>
          <w:rFonts w:ascii="Times New Roman" w:hAnsi="Times New Roman"/>
          <w:spacing w:val="-3"/>
          <w:sz w:val="22"/>
          <w:szCs w:val="22"/>
        </w:rPr>
        <w:t>If the Property has unused LIHTCs or other tax credits (“Tax Credits”) that transferred to Fannie Mae as a result of foreclosure, or other on-going affordability or tenancy restrictions of any type, the Appraiser shall pr</w:t>
      </w:r>
      <w:r w:rsidR="00A07A59">
        <w:rPr>
          <w:rFonts w:ascii="Times New Roman" w:hAnsi="Times New Roman"/>
          <w:spacing w:val="-3"/>
          <w:sz w:val="22"/>
          <w:szCs w:val="22"/>
        </w:rPr>
        <w:t>ovide an indication of (i) the M</w:t>
      </w:r>
      <w:r>
        <w:rPr>
          <w:rFonts w:ascii="Times New Roman" w:hAnsi="Times New Roman"/>
          <w:spacing w:val="-3"/>
          <w:sz w:val="22"/>
          <w:szCs w:val="22"/>
        </w:rPr>
        <w:t xml:space="preserve">arket </w:t>
      </w:r>
      <w:r w:rsidR="00A07A59">
        <w:rPr>
          <w:rFonts w:ascii="Times New Roman" w:hAnsi="Times New Roman"/>
          <w:spacing w:val="-3"/>
          <w:sz w:val="22"/>
          <w:szCs w:val="22"/>
        </w:rPr>
        <w:t>V</w:t>
      </w:r>
      <w:r>
        <w:rPr>
          <w:rFonts w:ascii="Times New Roman" w:hAnsi="Times New Roman"/>
          <w:spacing w:val="-3"/>
          <w:sz w:val="22"/>
          <w:szCs w:val="22"/>
        </w:rPr>
        <w:t xml:space="preserve">alue of the Property “As Is”; (ii) the </w:t>
      </w:r>
      <w:r w:rsidR="00A07A59">
        <w:rPr>
          <w:rFonts w:ascii="Times New Roman" w:hAnsi="Times New Roman"/>
          <w:spacing w:val="-3"/>
          <w:sz w:val="22"/>
          <w:szCs w:val="22"/>
        </w:rPr>
        <w:t>M</w:t>
      </w:r>
      <w:r>
        <w:rPr>
          <w:rFonts w:ascii="Times New Roman" w:hAnsi="Times New Roman"/>
          <w:spacing w:val="-3"/>
          <w:sz w:val="22"/>
          <w:szCs w:val="22"/>
        </w:rPr>
        <w:t xml:space="preserve">arket </w:t>
      </w:r>
      <w:r w:rsidR="00A07A59">
        <w:rPr>
          <w:rFonts w:ascii="Times New Roman" w:hAnsi="Times New Roman"/>
          <w:spacing w:val="-3"/>
          <w:sz w:val="22"/>
          <w:szCs w:val="22"/>
        </w:rPr>
        <w:t>V</w:t>
      </w:r>
      <w:r>
        <w:rPr>
          <w:rFonts w:ascii="Times New Roman" w:hAnsi="Times New Roman"/>
          <w:spacing w:val="-3"/>
          <w:sz w:val="22"/>
          <w:szCs w:val="22"/>
        </w:rPr>
        <w:t xml:space="preserve">alue of the Property “As Restricted,” and (iii) if requested by the Clients, the value of the remaining unclaimed Tax Credits.  See </w:t>
      </w:r>
      <w:r>
        <w:rPr>
          <w:rFonts w:ascii="Times New Roman" w:hAnsi="Times New Roman"/>
          <w:spacing w:val="-3"/>
          <w:sz w:val="22"/>
          <w:szCs w:val="22"/>
        </w:rPr>
        <w:lastRenderedPageBreak/>
        <w:t>Sections 15 – 21 below for additional information for Tax Credits and other affordability and tenancy restriction appraisal requirements.</w:t>
      </w:r>
    </w:p>
    <w:p w:rsidR="00AD50FA" w:rsidRPr="00F2276A" w:rsidRDefault="00AD50FA" w:rsidP="00AD50FA">
      <w:pPr>
        <w:tabs>
          <w:tab w:val="left" w:pos="-720"/>
        </w:tabs>
        <w:suppressAutoHyphens/>
        <w:spacing w:line="276" w:lineRule="auto"/>
        <w:ind w:left="720" w:hanging="720"/>
        <w:jc w:val="both"/>
        <w:rPr>
          <w:rFonts w:ascii="Times New Roman" w:hAnsi="Times New Roman"/>
          <w:spacing w:val="-3"/>
          <w:sz w:val="22"/>
          <w:szCs w:val="22"/>
        </w:rPr>
      </w:pPr>
    </w:p>
    <w:p w:rsidR="00AD50FA" w:rsidRPr="001120B5" w:rsidRDefault="00AD50FA" w:rsidP="00AD50FA">
      <w:pPr>
        <w:pStyle w:val="ListParagraph"/>
        <w:numPr>
          <w:ilvl w:val="0"/>
          <w:numId w:val="10"/>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u w:val="single"/>
        </w:rPr>
        <w:t>Report Format</w:t>
      </w:r>
      <w:r w:rsidRPr="00F2276A">
        <w:rPr>
          <w:rFonts w:ascii="Times New Roman" w:hAnsi="Times New Roman"/>
          <w:spacing w:val="-3"/>
          <w:sz w:val="22"/>
          <w:szCs w:val="22"/>
        </w:rPr>
        <w:t xml:space="preserve">. </w:t>
      </w:r>
      <w:r w:rsidRPr="001120B5">
        <w:rPr>
          <w:rFonts w:ascii="Times New Roman" w:hAnsi="Times New Roman"/>
          <w:spacing w:val="-3"/>
          <w:sz w:val="22"/>
          <w:szCs w:val="22"/>
        </w:rPr>
        <w:t xml:space="preserve">The report format should conform to USPAP requirements for an </w:t>
      </w:r>
      <w:r w:rsidR="009B612C">
        <w:rPr>
          <w:rFonts w:ascii="Times New Roman" w:hAnsi="Times New Roman"/>
          <w:spacing w:val="-3"/>
          <w:sz w:val="22"/>
          <w:szCs w:val="22"/>
        </w:rPr>
        <w:t>A</w:t>
      </w:r>
      <w:r w:rsidRPr="001120B5">
        <w:rPr>
          <w:rFonts w:ascii="Times New Roman" w:hAnsi="Times New Roman"/>
          <w:spacing w:val="-3"/>
          <w:sz w:val="22"/>
          <w:szCs w:val="22"/>
        </w:rPr>
        <w:t xml:space="preserve">ppraisal </w:t>
      </w:r>
      <w:r w:rsidR="009B612C">
        <w:rPr>
          <w:rFonts w:ascii="Times New Roman" w:hAnsi="Times New Roman"/>
          <w:spacing w:val="-3"/>
          <w:sz w:val="22"/>
          <w:szCs w:val="22"/>
        </w:rPr>
        <w:t>R</w:t>
      </w:r>
      <w:r w:rsidRPr="001120B5">
        <w:rPr>
          <w:rFonts w:ascii="Times New Roman" w:hAnsi="Times New Roman"/>
          <w:spacing w:val="-3"/>
          <w:sz w:val="22"/>
          <w:szCs w:val="22"/>
        </w:rPr>
        <w:t xml:space="preserve">eport. The Appraisal Report should contain all significant data to allow the reader to understand the scope of the work performed (self-contained). </w:t>
      </w:r>
    </w:p>
    <w:p w:rsidR="00AD50FA" w:rsidRPr="001120B5"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bCs/>
          <w:sz w:val="22"/>
          <w:szCs w:val="22"/>
        </w:rPr>
      </w:pPr>
      <w:r w:rsidRPr="001120B5">
        <w:rPr>
          <w:rFonts w:ascii="Times New Roman" w:hAnsi="Times New Roman"/>
          <w:bCs/>
          <w:sz w:val="22"/>
          <w:szCs w:val="22"/>
        </w:rPr>
        <w:t xml:space="preserve">Include </w:t>
      </w:r>
      <w:r w:rsidR="00495BEC">
        <w:rPr>
          <w:rFonts w:ascii="Times New Roman" w:hAnsi="Times New Roman"/>
          <w:bCs/>
          <w:sz w:val="22"/>
          <w:szCs w:val="22"/>
        </w:rPr>
        <w:t>(</w:t>
      </w:r>
      <w:r w:rsidRPr="001120B5">
        <w:rPr>
          <w:rFonts w:ascii="Times New Roman" w:hAnsi="Times New Roman"/>
          <w:bCs/>
          <w:sz w:val="22"/>
          <w:szCs w:val="22"/>
        </w:rPr>
        <w:t>Lender</w:t>
      </w:r>
      <w:r w:rsidR="00495BEC">
        <w:rPr>
          <w:rFonts w:ascii="Times New Roman" w:hAnsi="Times New Roman"/>
          <w:bCs/>
          <w:sz w:val="22"/>
          <w:szCs w:val="22"/>
        </w:rPr>
        <w:t>)</w:t>
      </w:r>
      <w:r w:rsidRPr="001120B5">
        <w:rPr>
          <w:rFonts w:ascii="Times New Roman" w:hAnsi="Times New Roman"/>
          <w:bCs/>
          <w:sz w:val="22"/>
          <w:szCs w:val="22"/>
        </w:rPr>
        <w:t xml:space="preserve"> as intended users</w:t>
      </w:r>
      <w:r w:rsidR="009B612C">
        <w:rPr>
          <w:rFonts w:ascii="Times New Roman" w:hAnsi="Times New Roman"/>
          <w:bCs/>
          <w:sz w:val="22"/>
          <w:szCs w:val="22"/>
        </w:rPr>
        <w:t>.</w:t>
      </w:r>
    </w:p>
    <w:p w:rsidR="00AD50FA" w:rsidRPr="001120B5"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bCs/>
          <w:sz w:val="22"/>
          <w:szCs w:val="22"/>
        </w:rPr>
      </w:pPr>
      <w:r w:rsidRPr="001120B5">
        <w:rPr>
          <w:rFonts w:ascii="Times New Roman" w:hAnsi="Times New Roman"/>
          <w:spacing w:val="-3"/>
          <w:sz w:val="22"/>
          <w:szCs w:val="22"/>
        </w:rPr>
        <w:t>Discuss the physical inspection of the interior and exterior areas of the Property. Include photographs that represent the condition and quality of the Property.</w:t>
      </w:r>
    </w:p>
    <w:p w:rsidR="00AD50FA" w:rsidRPr="001120B5"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Discuss the market area (neighborhood) conditions and disclose the extent of market area inspections performed.</w:t>
      </w:r>
    </w:p>
    <w:p w:rsidR="00AD50FA" w:rsidRPr="001120B5"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Include and discuss a supportable and defensible highest and best use.</w:t>
      </w:r>
    </w:p>
    <w:p w:rsidR="00AD50FA" w:rsidRPr="001120B5"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 xml:space="preserve">Comparable properties should have a same or similar highest and best use as the </w:t>
      </w:r>
      <w:r w:rsidR="009B612C">
        <w:rPr>
          <w:rFonts w:ascii="Times New Roman" w:hAnsi="Times New Roman"/>
          <w:spacing w:val="-3"/>
          <w:sz w:val="22"/>
          <w:szCs w:val="22"/>
        </w:rPr>
        <w:t>Property</w:t>
      </w:r>
      <w:r w:rsidRPr="001120B5">
        <w:rPr>
          <w:rFonts w:ascii="Times New Roman" w:hAnsi="Times New Roman"/>
          <w:spacing w:val="-3"/>
          <w:sz w:val="22"/>
          <w:szCs w:val="22"/>
        </w:rPr>
        <w:t>. However, if identical properties are not available, the appraiser should make an adjustment for the differences.</w:t>
      </w:r>
    </w:p>
    <w:p w:rsidR="00AD50FA" w:rsidRPr="001120B5"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Include a discussion of how the capitalization rate is derived when a direct capitalization analysis is used.</w:t>
      </w:r>
    </w:p>
    <w:p w:rsidR="00AD50FA" w:rsidRPr="001120B5" w:rsidRDefault="00AD50FA" w:rsidP="00AD50FA">
      <w:pPr>
        <w:pStyle w:val="ListParagraph"/>
        <w:widowControl/>
        <w:numPr>
          <w:ilvl w:val="0"/>
          <w:numId w:val="12"/>
        </w:numPr>
        <w:ind w:right="-540"/>
        <w:rPr>
          <w:rFonts w:ascii="Times New Roman" w:hAnsi="Times New Roman"/>
          <w:spacing w:val="-3"/>
          <w:sz w:val="22"/>
          <w:szCs w:val="22"/>
        </w:rPr>
      </w:pPr>
      <w:r w:rsidRPr="001120B5">
        <w:rPr>
          <w:rFonts w:ascii="Times New Roman" w:hAnsi="Times New Roman"/>
          <w:spacing w:val="-3"/>
          <w:sz w:val="22"/>
          <w:szCs w:val="22"/>
        </w:rPr>
        <w:t>Discuss the analysis of each comparable sale and disclose the extent of any inspections performed. Include an adjustment grid with appraiser-applied adjustments, if any.</w:t>
      </w:r>
    </w:p>
    <w:p w:rsidR="00AD50FA" w:rsidRPr="001120B5" w:rsidRDefault="00AD50FA" w:rsidP="00AD50FA">
      <w:pPr>
        <w:pStyle w:val="ListParagraph"/>
        <w:widowControl/>
        <w:numPr>
          <w:ilvl w:val="0"/>
          <w:numId w:val="12"/>
        </w:numPr>
        <w:spacing w:after="200" w:line="276" w:lineRule="auto"/>
        <w:rPr>
          <w:rFonts w:ascii="Times New Roman" w:hAnsi="Times New Roman"/>
          <w:spacing w:val="-3"/>
          <w:sz w:val="22"/>
          <w:szCs w:val="22"/>
        </w:rPr>
      </w:pPr>
      <w:r w:rsidRPr="001120B5">
        <w:rPr>
          <w:rFonts w:ascii="Times New Roman" w:hAnsi="Times New Roman"/>
          <w:spacing w:val="-3"/>
          <w:sz w:val="22"/>
          <w:szCs w:val="22"/>
        </w:rPr>
        <w:t>Discuss the analysis of each comparable rental and disclose the extent of any inspections performed. Include an adjustment grid with appraiser-applied adjustments, if any.</w:t>
      </w:r>
    </w:p>
    <w:p w:rsidR="00AD50FA" w:rsidRPr="00F2276A"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Discuss each of the lease absorption comparables, if any, and disclose the extent of inspections performed.</w:t>
      </w:r>
    </w:p>
    <w:p w:rsidR="00AD50FA" w:rsidRPr="00F2276A"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Include maps to denote the location of the Property relative to the market area and the comparable properties. </w:t>
      </w:r>
    </w:p>
    <w:p w:rsidR="00AD50FA" w:rsidRPr="00F2276A"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Note the appraisal professional'</w:t>
      </w:r>
      <w:r w:rsidR="009B612C">
        <w:rPr>
          <w:rFonts w:ascii="Times New Roman" w:hAnsi="Times New Roman"/>
          <w:spacing w:val="-3"/>
          <w:sz w:val="22"/>
          <w:szCs w:val="22"/>
        </w:rPr>
        <w:t>s</w:t>
      </w:r>
      <w:r w:rsidRPr="00F2276A">
        <w:rPr>
          <w:rFonts w:ascii="Times New Roman" w:hAnsi="Times New Roman"/>
          <w:spacing w:val="-3"/>
          <w:sz w:val="22"/>
          <w:szCs w:val="22"/>
        </w:rPr>
        <w:t xml:space="preserve"> license or certification numbers and include a copy of the license or certification. </w:t>
      </w:r>
    </w:p>
    <w:p w:rsidR="00AD50FA" w:rsidRPr="00F2276A"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Include a signed copy of the </w:t>
      </w:r>
      <w:r w:rsidR="009B612C">
        <w:rPr>
          <w:rFonts w:ascii="Times New Roman" w:hAnsi="Times New Roman"/>
          <w:spacing w:val="-3"/>
          <w:sz w:val="22"/>
          <w:szCs w:val="22"/>
        </w:rPr>
        <w:t>E</w:t>
      </w:r>
      <w:r w:rsidRPr="00F2276A">
        <w:rPr>
          <w:rFonts w:ascii="Times New Roman" w:hAnsi="Times New Roman"/>
          <w:spacing w:val="-3"/>
          <w:sz w:val="22"/>
          <w:szCs w:val="22"/>
        </w:rPr>
        <w:t xml:space="preserve">ngagement </w:t>
      </w:r>
      <w:r w:rsidR="009B612C">
        <w:rPr>
          <w:rFonts w:ascii="Times New Roman" w:hAnsi="Times New Roman"/>
          <w:spacing w:val="-3"/>
          <w:sz w:val="22"/>
          <w:szCs w:val="22"/>
        </w:rPr>
        <w:t>L</w:t>
      </w:r>
      <w:r w:rsidRPr="00F2276A">
        <w:rPr>
          <w:rFonts w:ascii="Times New Roman" w:hAnsi="Times New Roman"/>
          <w:spacing w:val="-3"/>
          <w:sz w:val="22"/>
          <w:szCs w:val="22"/>
        </w:rPr>
        <w:t xml:space="preserve">etter and all </w:t>
      </w:r>
      <w:r w:rsidR="009B612C">
        <w:rPr>
          <w:rFonts w:ascii="Times New Roman" w:hAnsi="Times New Roman"/>
          <w:spacing w:val="-3"/>
          <w:sz w:val="22"/>
          <w:szCs w:val="22"/>
        </w:rPr>
        <w:t>A</w:t>
      </w:r>
      <w:r w:rsidRPr="00F2276A">
        <w:rPr>
          <w:rFonts w:ascii="Times New Roman" w:hAnsi="Times New Roman"/>
          <w:spacing w:val="-3"/>
          <w:sz w:val="22"/>
          <w:szCs w:val="22"/>
        </w:rPr>
        <w:t>ttachments.</w:t>
      </w:r>
    </w:p>
    <w:p w:rsidR="00AD50FA" w:rsidRPr="00F2276A" w:rsidRDefault="00AD50FA" w:rsidP="00AD50FA">
      <w:pPr>
        <w:pStyle w:val="ListParagraph"/>
        <w:numPr>
          <w:ilvl w:val="0"/>
          <w:numId w:val="12"/>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bCs/>
          <w:color w:val="231F20"/>
          <w:sz w:val="22"/>
          <w:szCs w:val="22"/>
        </w:rPr>
        <w:t>Include property information provided to the Appraiser during the assignment</w:t>
      </w:r>
      <w:r>
        <w:rPr>
          <w:rFonts w:ascii="Times New Roman" w:hAnsi="Times New Roman"/>
          <w:bCs/>
          <w:color w:val="231F20"/>
          <w:sz w:val="22"/>
          <w:szCs w:val="22"/>
        </w:rPr>
        <w:t xml:space="preserve"> and the source </w:t>
      </w:r>
      <w:r w:rsidRPr="00F2276A">
        <w:rPr>
          <w:rFonts w:ascii="Times New Roman" w:hAnsi="Times New Roman"/>
          <w:bCs/>
          <w:color w:val="231F20"/>
          <w:sz w:val="22"/>
          <w:szCs w:val="22"/>
        </w:rPr>
        <w:t>(e.g., rent rolls, operating statements, budgets).</w:t>
      </w:r>
    </w:p>
    <w:p w:rsidR="00AD50FA" w:rsidRPr="00F2276A" w:rsidRDefault="00AD50FA" w:rsidP="00AD50FA">
      <w:pPr>
        <w:tabs>
          <w:tab w:val="left" w:pos="-720"/>
        </w:tabs>
        <w:suppressAutoHyphens/>
        <w:spacing w:line="276" w:lineRule="auto"/>
        <w:jc w:val="both"/>
        <w:rPr>
          <w:rFonts w:ascii="Times New Roman" w:hAnsi="Times New Roman"/>
          <w:spacing w:val="-3"/>
          <w:sz w:val="22"/>
          <w:szCs w:val="22"/>
        </w:rPr>
      </w:pPr>
    </w:p>
    <w:p w:rsidR="00AD50FA" w:rsidRPr="00F2276A" w:rsidRDefault="00AD50FA" w:rsidP="00AD50FA">
      <w:pPr>
        <w:pStyle w:val="ListParagraph"/>
        <w:numPr>
          <w:ilvl w:val="0"/>
          <w:numId w:val="10"/>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bCs/>
          <w:color w:val="231F20"/>
          <w:sz w:val="22"/>
          <w:szCs w:val="22"/>
          <w:u w:val="single"/>
        </w:rPr>
        <w:t>Scope of Work</w:t>
      </w:r>
      <w:r w:rsidRPr="00F2276A">
        <w:rPr>
          <w:rFonts w:ascii="Times New Roman" w:hAnsi="Times New Roman"/>
          <w:bCs/>
          <w:color w:val="231F20"/>
          <w:sz w:val="22"/>
          <w:szCs w:val="22"/>
        </w:rPr>
        <w:t xml:space="preserve">: In conformance with the USPAP </w:t>
      </w:r>
      <w:r w:rsidRPr="00F2276A">
        <w:rPr>
          <w:rFonts w:ascii="Times New Roman" w:hAnsi="Times New Roman"/>
          <w:bCs/>
          <w:i/>
          <w:color w:val="231F20"/>
          <w:sz w:val="22"/>
          <w:szCs w:val="22"/>
        </w:rPr>
        <w:t>Scope of Work Rule</w:t>
      </w:r>
      <w:r w:rsidRPr="00F2276A">
        <w:rPr>
          <w:rFonts w:ascii="Times New Roman" w:hAnsi="Times New Roman"/>
          <w:bCs/>
          <w:color w:val="231F20"/>
          <w:sz w:val="22"/>
          <w:szCs w:val="22"/>
        </w:rPr>
        <w:t>, the Appraisal Report must reflect an appropriate scope of work that provides for credible assignment results. The Appraiser is to conform with the previously noted professional standards and regulations and:</w:t>
      </w:r>
    </w:p>
    <w:p w:rsidR="00AD50FA" w:rsidRPr="00F2276A" w:rsidRDefault="00AD50FA" w:rsidP="00AD50FA">
      <w:pPr>
        <w:pStyle w:val="ListParagraph"/>
        <w:numPr>
          <w:ilvl w:val="0"/>
          <w:numId w:val="9"/>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bCs/>
          <w:color w:val="231F20"/>
          <w:sz w:val="22"/>
          <w:szCs w:val="22"/>
        </w:rPr>
        <w:t>If the Property contains commercial space, the Apprais</w:t>
      </w:r>
      <w:r>
        <w:rPr>
          <w:rFonts w:ascii="Times New Roman" w:hAnsi="Times New Roman"/>
          <w:bCs/>
          <w:color w:val="231F20"/>
          <w:sz w:val="22"/>
          <w:szCs w:val="22"/>
        </w:rPr>
        <w:t>al</w:t>
      </w:r>
      <w:r w:rsidRPr="00F2276A">
        <w:rPr>
          <w:rFonts w:ascii="Times New Roman" w:hAnsi="Times New Roman"/>
          <w:bCs/>
          <w:color w:val="231F20"/>
          <w:sz w:val="22"/>
          <w:szCs w:val="22"/>
        </w:rPr>
        <w:t xml:space="preserve"> </w:t>
      </w:r>
      <w:r>
        <w:rPr>
          <w:rFonts w:ascii="Times New Roman" w:hAnsi="Times New Roman"/>
          <w:bCs/>
          <w:color w:val="231F20"/>
          <w:sz w:val="22"/>
          <w:szCs w:val="22"/>
        </w:rPr>
        <w:t xml:space="preserve">Report </w:t>
      </w:r>
      <w:r w:rsidRPr="00F2276A">
        <w:rPr>
          <w:rFonts w:ascii="Times New Roman" w:hAnsi="Times New Roman"/>
          <w:bCs/>
          <w:color w:val="231F20"/>
          <w:sz w:val="22"/>
          <w:szCs w:val="22"/>
        </w:rPr>
        <w:t>must segregate the commercial revenue, expenses and income attributable to that space from the residential operations attributable to the Property. The Apprais</w:t>
      </w:r>
      <w:r>
        <w:rPr>
          <w:rFonts w:ascii="Times New Roman" w:hAnsi="Times New Roman"/>
          <w:bCs/>
          <w:color w:val="231F20"/>
          <w:sz w:val="22"/>
          <w:szCs w:val="22"/>
        </w:rPr>
        <w:t>al Report</w:t>
      </w:r>
      <w:r w:rsidRPr="00F2276A">
        <w:rPr>
          <w:rFonts w:ascii="Times New Roman" w:hAnsi="Times New Roman"/>
          <w:bCs/>
          <w:color w:val="231F20"/>
          <w:sz w:val="22"/>
          <w:szCs w:val="22"/>
        </w:rPr>
        <w:t xml:space="preserve">’s commercial cash flow estimates must reflect any special conditions indicated in the commercial leases that would impact the net cash flows of the Property.  </w:t>
      </w:r>
    </w:p>
    <w:p w:rsidR="00AD50FA" w:rsidRPr="00F2276A" w:rsidRDefault="00AD50FA" w:rsidP="00AD50FA">
      <w:pPr>
        <w:pStyle w:val="ListParagraph"/>
        <w:numPr>
          <w:ilvl w:val="0"/>
          <w:numId w:val="9"/>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spacing w:val="-3"/>
          <w:sz w:val="22"/>
          <w:szCs w:val="22"/>
        </w:rPr>
        <w:t xml:space="preserve">Analyze and report the estimated length of the marketing period considered typical in the market and reflected in the market value as of </w:t>
      </w:r>
      <w:r w:rsidRPr="001120B5">
        <w:rPr>
          <w:rFonts w:ascii="Times New Roman" w:hAnsi="Times New Roman"/>
          <w:spacing w:val="-3"/>
          <w:sz w:val="22"/>
          <w:szCs w:val="22"/>
        </w:rPr>
        <w:t xml:space="preserve">the </w:t>
      </w:r>
      <w:r w:rsidR="0061261E">
        <w:rPr>
          <w:rFonts w:ascii="Times New Roman" w:hAnsi="Times New Roman"/>
          <w:spacing w:val="-3"/>
          <w:sz w:val="22"/>
          <w:szCs w:val="22"/>
        </w:rPr>
        <w:t>E</w:t>
      </w:r>
      <w:r w:rsidRPr="001120B5">
        <w:rPr>
          <w:rFonts w:ascii="Times New Roman" w:hAnsi="Times New Roman"/>
          <w:spacing w:val="-3"/>
          <w:sz w:val="22"/>
          <w:szCs w:val="22"/>
        </w:rPr>
        <w:t xml:space="preserve">ffective </w:t>
      </w:r>
      <w:r w:rsidR="0061261E">
        <w:rPr>
          <w:rFonts w:ascii="Times New Roman" w:hAnsi="Times New Roman"/>
          <w:spacing w:val="-3"/>
          <w:sz w:val="22"/>
          <w:szCs w:val="22"/>
        </w:rPr>
        <w:t>D</w:t>
      </w:r>
      <w:r w:rsidRPr="001120B5">
        <w:rPr>
          <w:rFonts w:ascii="Times New Roman" w:hAnsi="Times New Roman"/>
          <w:spacing w:val="-3"/>
          <w:sz w:val="22"/>
          <w:szCs w:val="22"/>
        </w:rPr>
        <w:t xml:space="preserve">ate of </w:t>
      </w:r>
      <w:r w:rsidR="0061261E">
        <w:rPr>
          <w:rFonts w:ascii="Times New Roman" w:hAnsi="Times New Roman"/>
          <w:spacing w:val="-3"/>
          <w:sz w:val="22"/>
          <w:szCs w:val="22"/>
        </w:rPr>
        <w:t>V</w:t>
      </w:r>
      <w:r w:rsidRPr="001120B5">
        <w:rPr>
          <w:rFonts w:ascii="Times New Roman" w:hAnsi="Times New Roman"/>
          <w:spacing w:val="-3"/>
          <w:sz w:val="22"/>
          <w:szCs w:val="22"/>
        </w:rPr>
        <w:t>alue.</w:t>
      </w:r>
    </w:p>
    <w:p w:rsidR="00AD50FA" w:rsidRPr="00F2276A" w:rsidRDefault="00AD50FA" w:rsidP="00AD50FA">
      <w:pPr>
        <w:pStyle w:val="NormalWeb"/>
        <w:spacing w:before="0" w:beforeAutospacing="0" w:after="0" w:afterAutospacing="0" w:line="276" w:lineRule="auto"/>
        <w:ind w:left="360"/>
        <w:jc w:val="both"/>
        <w:rPr>
          <w:rStyle w:val="DeltaViewInsertion"/>
          <w:color w:val="auto"/>
          <w:spacing w:val="-3"/>
          <w:sz w:val="22"/>
          <w:szCs w:val="22"/>
          <w:u w:val="none"/>
        </w:rPr>
      </w:pP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Style w:val="DeltaViewInsertion"/>
          <w:rFonts w:ascii="Times New Roman" w:hAnsi="Times New Roman"/>
          <w:color w:val="auto"/>
          <w:spacing w:val="-3"/>
          <w:sz w:val="22"/>
          <w:szCs w:val="22"/>
          <w:u w:val="none"/>
        </w:rPr>
        <w:t>9.</w:t>
      </w:r>
      <w:r w:rsidRPr="00F2276A">
        <w:rPr>
          <w:rStyle w:val="DeltaViewInsertion"/>
          <w:rFonts w:ascii="Times New Roman" w:hAnsi="Times New Roman"/>
          <w:color w:val="auto"/>
          <w:spacing w:val="-3"/>
          <w:sz w:val="22"/>
          <w:szCs w:val="22"/>
          <w:u w:val="none"/>
        </w:rPr>
        <w:tab/>
      </w:r>
      <w:r w:rsidRPr="00F2276A">
        <w:rPr>
          <w:rStyle w:val="DeltaViewInsertion"/>
          <w:rFonts w:ascii="Times New Roman" w:hAnsi="Times New Roman"/>
          <w:color w:val="auto"/>
          <w:spacing w:val="-3"/>
          <w:sz w:val="22"/>
          <w:szCs w:val="22"/>
          <w:u w:val="single"/>
        </w:rPr>
        <w:t>Non-stabilized Occupancy</w:t>
      </w:r>
      <w:r w:rsidRPr="00F2276A">
        <w:rPr>
          <w:rStyle w:val="DeltaViewInsertion"/>
          <w:rFonts w:ascii="Times New Roman" w:hAnsi="Times New Roman"/>
          <w:color w:val="auto"/>
          <w:spacing w:val="-3"/>
          <w:sz w:val="22"/>
          <w:szCs w:val="22"/>
          <w:u w:val="none"/>
        </w:rPr>
        <w:t xml:space="preserve">:  The Appraiser shall analyze and report appropriate adjustments and discounts for partially leased buildings and non-stabilized assets. (See Appendix C, Deductions and </w:t>
      </w:r>
      <w:r w:rsidRPr="00F2276A">
        <w:rPr>
          <w:rStyle w:val="DeltaViewInsertion"/>
          <w:rFonts w:ascii="Times New Roman" w:hAnsi="Times New Roman"/>
          <w:color w:val="auto"/>
          <w:spacing w:val="-3"/>
          <w:sz w:val="22"/>
          <w:szCs w:val="22"/>
          <w:u w:val="none"/>
        </w:rPr>
        <w:lastRenderedPageBreak/>
        <w:t>Discounts-</w:t>
      </w:r>
      <w:r w:rsidRPr="00F2276A">
        <w:rPr>
          <w:rStyle w:val="DeltaViewInsertion"/>
          <w:rFonts w:ascii="Times New Roman" w:hAnsi="Times New Roman"/>
          <w:i/>
          <w:color w:val="auto"/>
          <w:spacing w:val="-3"/>
          <w:sz w:val="22"/>
          <w:szCs w:val="22"/>
          <w:u w:val="none"/>
        </w:rPr>
        <w:t>Interagency Appraisal and Evaluation Guidelines</w:t>
      </w:r>
      <w:r w:rsidRPr="00F2276A">
        <w:rPr>
          <w:rStyle w:val="DeltaViewInsertion"/>
          <w:rFonts w:ascii="Times New Roman" w:hAnsi="Times New Roman"/>
          <w:color w:val="auto"/>
          <w:spacing w:val="-3"/>
          <w:sz w:val="22"/>
          <w:szCs w:val="22"/>
          <w:u w:val="none"/>
        </w:rPr>
        <w:t xml:space="preserve"> published in December 2010).  Additionally, if</w:t>
      </w:r>
      <w:r w:rsidRPr="00F2276A">
        <w:rPr>
          <w:rFonts w:ascii="Times New Roman" w:hAnsi="Times New Roman"/>
          <w:spacing w:val="-3"/>
          <w:sz w:val="22"/>
          <w:szCs w:val="22"/>
        </w:rPr>
        <w:t xml:space="preserve"> the Property’s occupancy is not stabilized as of the</w:t>
      </w:r>
      <w:r w:rsidR="00A4226E">
        <w:rPr>
          <w:rFonts w:ascii="Times New Roman" w:hAnsi="Times New Roman"/>
          <w:spacing w:val="-3"/>
          <w:sz w:val="22"/>
          <w:szCs w:val="22"/>
        </w:rPr>
        <w:t xml:space="preserve"> </w:t>
      </w:r>
      <w:r w:rsidR="009B612C">
        <w:rPr>
          <w:rFonts w:ascii="Times New Roman" w:hAnsi="Times New Roman"/>
          <w:spacing w:val="-3"/>
          <w:sz w:val="22"/>
          <w:szCs w:val="22"/>
        </w:rPr>
        <w:t>E</w:t>
      </w:r>
      <w:r w:rsidRPr="0042452E">
        <w:rPr>
          <w:rFonts w:ascii="Times New Roman" w:hAnsi="Times New Roman"/>
          <w:spacing w:val="-3"/>
          <w:sz w:val="22"/>
          <w:szCs w:val="22"/>
        </w:rPr>
        <w:t xml:space="preserve">ffective </w:t>
      </w:r>
      <w:r w:rsidR="009B612C">
        <w:rPr>
          <w:rFonts w:ascii="Times New Roman" w:hAnsi="Times New Roman"/>
          <w:spacing w:val="-3"/>
          <w:sz w:val="22"/>
          <w:szCs w:val="22"/>
        </w:rPr>
        <w:t>D</w:t>
      </w:r>
      <w:r w:rsidRPr="0042452E">
        <w:rPr>
          <w:rFonts w:ascii="Times New Roman" w:hAnsi="Times New Roman"/>
          <w:spacing w:val="-3"/>
          <w:sz w:val="22"/>
          <w:szCs w:val="22"/>
        </w:rPr>
        <w:t xml:space="preserve">ate of </w:t>
      </w:r>
      <w:r w:rsidR="009B612C">
        <w:rPr>
          <w:rFonts w:ascii="Times New Roman" w:hAnsi="Times New Roman"/>
          <w:spacing w:val="-3"/>
          <w:sz w:val="22"/>
          <w:szCs w:val="22"/>
        </w:rPr>
        <w:t>V</w:t>
      </w:r>
      <w:r w:rsidRPr="0042452E">
        <w:rPr>
          <w:rFonts w:ascii="Times New Roman" w:hAnsi="Times New Roman"/>
          <w:spacing w:val="-3"/>
          <w:sz w:val="22"/>
          <w:szCs w:val="22"/>
        </w:rPr>
        <w:t>alue,</w:t>
      </w:r>
      <w:r w:rsidRPr="00F2276A">
        <w:rPr>
          <w:rFonts w:ascii="Times New Roman" w:hAnsi="Times New Roman"/>
          <w:spacing w:val="-3"/>
          <w:sz w:val="22"/>
          <w:szCs w:val="22"/>
        </w:rPr>
        <w:t xml:space="preserve"> the Appraiser shall include a lease-up analysis and discussion with a minimum of three supplemental comparable sales with less-than-stabilized occupancy, if such comparable sales are available. The Appraiser shall analyze, reconcile and discuss the final concluded </w:t>
      </w:r>
      <w:r w:rsidR="009B612C">
        <w:rPr>
          <w:rFonts w:ascii="Times New Roman" w:hAnsi="Times New Roman"/>
          <w:spacing w:val="-3"/>
          <w:sz w:val="22"/>
          <w:szCs w:val="22"/>
        </w:rPr>
        <w:t>M</w:t>
      </w:r>
      <w:r w:rsidRPr="0042452E">
        <w:rPr>
          <w:rFonts w:ascii="Times New Roman" w:hAnsi="Times New Roman"/>
          <w:spacing w:val="-3"/>
          <w:sz w:val="22"/>
          <w:szCs w:val="22"/>
        </w:rPr>
        <w:t xml:space="preserve">arket </w:t>
      </w:r>
      <w:r w:rsidR="009B612C">
        <w:rPr>
          <w:rFonts w:ascii="Times New Roman" w:hAnsi="Times New Roman"/>
          <w:spacing w:val="-3"/>
          <w:sz w:val="22"/>
          <w:szCs w:val="22"/>
        </w:rPr>
        <w:t>V</w:t>
      </w:r>
      <w:r w:rsidRPr="0042452E">
        <w:rPr>
          <w:rFonts w:ascii="Times New Roman" w:hAnsi="Times New Roman"/>
          <w:spacing w:val="-3"/>
          <w:sz w:val="22"/>
          <w:szCs w:val="22"/>
        </w:rPr>
        <w:t>alue</w:t>
      </w:r>
      <w:r w:rsidRPr="00F2276A">
        <w:rPr>
          <w:rFonts w:ascii="Times New Roman" w:hAnsi="Times New Roman"/>
          <w:spacing w:val="-3"/>
          <w:sz w:val="22"/>
          <w:szCs w:val="22"/>
        </w:rPr>
        <w:t xml:space="preserve"> of the Property with the </w:t>
      </w:r>
      <w:r w:rsidRPr="00F2276A">
        <w:rPr>
          <w:rFonts w:ascii="Times New Roman" w:hAnsi="Times New Roman"/>
          <w:i/>
          <w:spacing w:val="-3"/>
          <w:sz w:val="22"/>
          <w:szCs w:val="22"/>
        </w:rPr>
        <w:t>unadjusted</w:t>
      </w:r>
      <w:r w:rsidRPr="00F2276A">
        <w:rPr>
          <w:rFonts w:ascii="Times New Roman" w:hAnsi="Times New Roman"/>
          <w:spacing w:val="-3"/>
          <w:sz w:val="22"/>
          <w:szCs w:val="22"/>
        </w:rPr>
        <w:t xml:space="preserve"> sale prices of the supplemental comparable sales regarding any differences in the properties’ characteristics, locations and/or the terms of sale.</w:t>
      </w:r>
    </w:p>
    <w:p w:rsidR="00AD50FA" w:rsidRPr="00F2276A" w:rsidRDefault="00AD50FA" w:rsidP="00AD50FA">
      <w:pPr>
        <w:keepNext/>
        <w:widowControl/>
        <w:tabs>
          <w:tab w:val="left" w:pos="-720"/>
          <w:tab w:val="left" w:pos="0"/>
        </w:tabs>
        <w:suppressAutoHyphens/>
        <w:spacing w:line="276" w:lineRule="auto"/>
        <w:ind w:left="720" w:hanging="720"/>
        <w:jc w:val="both"/>
        <w:rPr>
          <w:rFonts w:ascii="Times New Roman" w:hAnsi="Times New Roman"/>
          <w:spacing w:val="-3"/>
          <w:sz w:val="22"/>
          <w:szCs w:val="22"/>
        </w:rPr>
      </w:pPr>
    </w:p>
    <w:p w:rsidR="00AD50FA" w:rsidRPr="00F2276A" w:rsidRDefault="00AD50FA" w:rsidP="00AD50FA">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r w:rsidRPr="00F2276A">
        <w:rPr>
          <w:rFonts w:ascii="Times New Roman" w:hAnsi="Times New Roman"/>
          <w:spacing w:val="-3"/>
          <w:sz w:val="22"/>
          <w:szCs w:val="22"/>
        </w:rPr>
        <w:t>10.</w:t>
      </w:r>
      <w:r w:rsidRPr="00F2276A">
        <w:rPr>
          <w:rFonts w:ascii="Times New Roman" w:hAnsi="Times New Roman"/>
          <w:spacing w:val="-3"/>
          <w:sz w:val="22"/>
          <w:szCs w:val="22"/>
        </w:rPr>
        <w:tab/>
      </w:r>
      <w:r w:rsidRPr="00F2276A">
        <w:rPr>
          <w:rStyle w:val="DeltaViewInsertion"/>
          <w:rFonts w:ascii="Times New Roman" w:hAnsi="Times New Roman"/>
          <w:color w:val="auto"/>
          <w:spacing w:val="-3"/>
          <w:sz w:val="22"/>
          <w:szCs w:val="22"/>
          <w:u w:val="single"/>
        </w:rPr>
        <w:t>Market Value</w:t>
      </w:r>
      <w:r w:rsidRPr="00F2276A">
        <w:rPr>
          <w:rStyle w:val="DeltaViewInsertion"/>
          <w:rFonts w:ascii="Times New Roman" w:hAnsi="Times New Roman"/>
          <w:color w:val="auto"/>
          <w:spacing w:val="-3"/>
          <w:sz w:val="22"/>
          <w:szCs w:val="22"/>
          <w:u w:val="none"/>
        </w:rPr>
        <w:t xml:space="preserve">:  As defined by the Office of the Comptroller of Currency under 12 CFR, Part 34, Subpart C-Appraisals, 34.42 Definitions; the Board of Governors of the Federal Reserve System; the Federal Deposit Insurance Corporation; and in compliance with Title XI of FIRREA and the </w:t>
      </w:r>
      <w:r w:rsidRPr="00F2276A">
        <w:rPr>
          <w:rStyle w:val="DeltaViewInsertion"/>
          <w:rFonts w:ascii="Times New Roman" w:hAnsi="Times New Roman"/>
          <w:i/>
          <w:color w:val="auto"/>
          <w:spacing w:val="-3"/>
          <w:sz w:val="22"/>
          <w:szCs w:val="22"/>
          <w:u w:val="none"/>
        </w:rPr>
        <w:t>Interagency Appraisal and Evaluation Guidelines</w:t>
      </w:r>
      <w:r w:rsidRPr="00F2276A">
        <w:rPr>
          <w:rStyle w:val="DeltaViewInsertion"/>
          <w:rFonts w:ascii="Times New Roman" w:hAnsi="Times New Roman"/>
          <w:color w:val="auto"/>
          <w:spacing w:val="-3"/>
          <w:sz w:val="22"/>
          <w:szCs w:val="22"/>
          <w:u w:val="none"/>
        </w:rPr>
        <w:t>, as well as USPAP, and f</w:t>
      </w:r>
      <w:r w:rsidRPr="00F2276A">
        <w:rPr>
          <w:rFonts w:ascii="Times New Roman" w:hAnsi="Times New Roman"/>
          <w:spacing w:val="-3"/>
          <w:sz w:val="22"/>
          <w:szCs w:val="22"/>
        </w:rPr>
        <w:t>or purposes of the Services, m</w:t>
      </w:r>
      <w:r w:rsidRPr="00F2276A">
        <w:rPr>
          <w:rStyle w:val="DeltaViewInsertion"/>
          <w:rFonts w:ascii="Times New Roman" w:hAnsi="Times New Roman"/>
          <w:color w:val="auto"/>
          <w:spacing w:val="-3"/>
          <w:sz w:val="22"/>
          <w:szCs w:val="22"/>
          <w:u w:val="none"/>
        </w:rPr>
        <w:t xml:space="preserve">arket value is as defined follows:  </w:t>
      </w:r>
    </w:p>
    <w:p w:rsidR="00AD50FA" w:rsidRPr="00F2276A" w:rsidRDefault="00AD50FA" w:rsidP="00AD50FA">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p>
    <w:p w:rsidR="00AD50FA" w:rsidRPr="00F2276A" w:rsidRDefault="00AD50FA" w:rsidP="00AD50FA">
      <w:pPr>
        <w:pStyle w:val="NormalWeb"/>
        <w:spacing w:before="0" w:beforeAutospacing="0" w:after="0" w:afterAutospacing="0" w:line="276" w:lineRule="auto"/>
        <w:ind w:left="720"/>
        <w:jc w:val="both"/>
        <w:rPr>
          <w:i/>
          <w:sz w:val="22"/>
          <w:szCs w:val="22"/>
        </w:rPr>
      </w:pPr>
      <w:r w:rsidRPr="00F2276A">
        <w:rPr>
          <w:i/>
          <w:sz w:val="22"/>
          <w:szCs w:val="22"/>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rsidR="00AD50FA" w:rsidRPr="00F2276A" w:rsidRDefault="00AD50FA" w:rsidP="00AD50FA">
      <w:pPr>
        <w:pStyle w:val="NormalWeb"/>
        <w:spacing w:before="0" w:beforeAutospacing="0" w:after="0" w:afterAutospacing="0" w:line="276" w:lineRule="auto"/>
        <w:ind w:left="720"/>
        <w:jc w:val="both"/>
        <w:rPr>
          <w:i/>
          <w:sz w:val="22"/>
          <w:szCs w:val="22"/>
        </w:rPr>
      </w:pPr>
      <w:r w:rsidRPr="00F2276A">
        <w:rPr>
          <w:i/>
          <w:sz w:val="22"/>
          <w:szCs w:val="22"/>
        </w:rPr>
        <w:t>(a)</w:t>
      </w:r>
      <w:r w:rsidRPr="00F2276A">
        <w:rPr>
          <w:i/>
          <w:sz w:val="22"/>
          <w:szCs w:val="22"/>
        </w:rPr>
        <w:tab/>
        <w:t>Buyer and seller are typically motivated;</w:t>
      </w:r>
    </w:p>
    <w:p w:rsidR="00AD50FA" w:rsidRPr="00F2276A" w:rsidRDefault="00AD50FA" w:rsidP="00AD50FA">
      <w:pPr>
        <w:pStyle w:val="NormalWeb"/>
        <w:spacing w:before="0" w:beforeAutospacing="0" w:after="0" w:afterAutospacing="0" w:line="276" w:lineRule="auto"/>
        <w:ind w:left="1440" w:hanging="720"/>
        <w:jc w:val="both"/>
        <w:rPr>
          <w:i/>
          <w:sz w:val="22"/>
          <w:szCs w:val="22"/>
        </w:rPr>
      </w:pPr>
      <w:r w:rsidRPr="00F2276A">
        <w:rPr>
          <w:i/>
          <w:sz w:val="22"/>
          <w:szCs w:val="22"/>
        </w:rPr>
        <w:t>(b)</w:t>
      </w:r>
      <w:r w:rsidRPr="00F2276A">
        <w:rPr>
          <w:i/>
          <w:sz w:val="22"/>
          <w:szCs w:val="22"/>
        </w:rPr>
        <w:tab/>
        <w:t>Both parties are well informed or well advised, and acting in what they consider their own best interests;</w:t>
      </w:r>
    </w:p>
    <w:p w:rsidR="00AD50FA" w:rsidRPr="00F2276A" w:rsidRDefault="00AD50FA" w:rsidP="00AD50FA">
      <w:pPr>
        <w:pStyle w:val="NormalWeb"/>
        <w:spacing w:before="0" w:beforeAutospacing="0" w:after="0" w:afterAutospacing="0" w:line="276" w:lineRule="auto"/>
        <w:ind w:left="720"/>
        <w:jc w:val="both"/>
        <w:rPr>
          <w:i/>
          <w:sz w:val="22"/>
          <w:szCs w:val="22"/>
        </w:rPr>
      </w:pPr>
      <w:r w:rsidRPr="00F2276A">
        <w:rPr>
          <w:i/>
          <w:sz w:val="22"/>
          <w:szCs w:val="22"/>
        </w:rPr>
        <w:t>(c)</w:t>
      </w:r>
      <w:r w:rsidRPr="00F2276A">
        <w:rPr>
          <w:i/>
          <w:sz w:val="22"/>
          <w:szCs w:val="22"/>
        </w:rPr>
        <w:tab/>
        <w:t>A reasonable time is allowed for exposure in the open market;</w:t>
      </w:r>
    </w:p>
    <w:p w:rsidR="00AD50FA" w:rsidRPr="00F2276A" w:rsidRDefault="00AD50FA" w:rsidP="00AD50FA">
      <w:pPr>
        <w:pStyle w:val="NormalWeb"/>
        <w:spacing w:before="0" w:beforeAutospacing="0" w:after="0" w:afterAutospacing="0" w:line="276" w:lineRule="auto"/>
        <w:ind w:left="1440" w:hanging="720"/>
        <w:jc w:val="both"/>
        <w:rPr>
          <w:i/>
          <w:sz w:val="22"/>
          <w:szCs w:val="22"/>
        </w:rPr>
      </w:pPr>
      <w:r w:rsidRPr="00F2276A">
        <w:rPr>
          <w:i/>
          <w:sz w:val="22"/>
          <w:szCs w:val="22"/>
        </w:rPr>
        <w:t>(d)</w:t>
      </w:r>
      <w:r w:rsidRPr="00F2276A">
        <w:rPr>
          <w:i/>
          <w:sz w:val="22"/>
          <w:szCs w:val="22"/>
        </w:rPr>
        <w:tab/>
        <w:t>Payment is made in terms of cash in U.S. dollars or in terms of financial arrangements comparable thereto; and</w:t>
      </w:r>
    </w:p>
    <w:p w:rsidR="00AD50FA" w:rsidRPr="00F2276A" w:rsidRDefault="00AD50FA" w:rsidP="00AD50FA">
      <w:pPr>
        <w:pStyle w:val="NormalWeb"/>
        <w:spacing w:before="0" w:beforeAutospacing="0" w:after="0" w:afterAutospacing="0" w:line="276" w:lineRule="auto"/>
        <w:ind w:left="1440" w:hanging="720"/>
        <w:jc w:val="both"/>
        <w:rPr>
          <w:i/>
          <w:sz w:val="22"/>
          <w:szCs w:val="22"/>
        </w:rPr>
      </w:pPr>
      <w:r w:rsidRPr="00F2276A">
        <w:rPr>
          <w:i/>
          <w:sz w:val="22"/>
          <w:szCs w:val="22"/>
        </w:rPr>
        <w:t>(e)</w:t>
      </w:r>
      <w:r w:rsidRPr="00F2276A">
        <w:rPr>
          <w:i/>
          <w:sz w:val="22"/>
          <w:szCs w:val="22"/>
        </w:rPr>
        <w:tab/>
        <w:t>The price represents the normal consideration for the property sold unaffected by special or creative financing or sales concessions granted by anyone associated with the sale.”</w:t>
      </w: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11.</w:t>
      </w:r>
      <w:r w:rsidRPr="00F2276A">
        <w:rPr>
          <w:rFonts w:ascii="Times New Roman" w:hAnsi="Times New Roman"/>
          <w:spacing w:val="-3"/>
          <w:sz w:val="22"/>
          <w:szCs w:val="22"/>
        </w:rPr>
        <w:tab/>
      </w:r>
      <w:r w:rsidRPr="00F2276A">
        <w:rPr>
          <w:rFonts w:ascii="Times New Roman" w:hAnsi="Times New Roman"/>
          <w:spacing w:val="-3"/>
          <w:sz w:val="22"/>
          <w:szCs w:val="22"/>
          <w:u w:val="single"/>
        </w:rPr>
        <w:t>Ownership Interest</w:t>
      </w:r>
      <w:r w:rsidRPr="00F2276A">
        <w:rPr>
          <w:rFonts w:ascii="Times New Roman" w:hAnsi="Times New Roman"/>
          <w:spacing w:val="-3"/>
          <w:sz w:val="22"/>
          <w:szCs w:val="22"/>
        </w:rPr>
        <w:t xml:space="preserve"> in the Property is identified in </w:t>
      </w:r>
      <w:r w:rsidRPr="0042452E">
        <w:rPr>
          <w:rFonts w:ascii="Times New Roman" w:hAnsi="Times New Roman"/>
          <w:spacing w:val="-3"/>
          <w:sz w:val="22"/>
          <w:szCs w:val="22"/>
        </w:rPr>
        <w:t>Exhibit1.</w:t>
      </w:r>
      <w:r>
        <w:rPr>
          <w:rFonts w:ascii="Times New Roman" w:hAnsi="Times New Roman"/>
          <w:color w:val="0070C0"/>
          <w:spacing w:val="-3"/>
          <w:sz w:val="22"/>
          <w:szCs w:val="22"/>
        </w:rPr>
        <w:t xml:space="preserve">  </w:t>
      </w:r>
      <w:r w:rsidRPr="0067083E">
        <w:rPr>
          <w:rFonts w:ascii="Times New Roman" w:hAnsi="Times New Roman"/>
          <w:spacing w:val="-3"/>
          <w:sz w:val="22"/>
          <w:szCs w:val="22"/>
        </w:rPr>
        <w:t>The</w:t>
      </w:r>
      <w:r w:rsidRPr="00F2276A">
        <w:rPr>
          <w:rFonts w:ascii="Times New Roman" w:hAnsi="Times New Roman"/>
          <w:spacing w:val="-3"/>
          <w:sz w:val="22"/>
          <w:szCs w:val="22"/>
        </w:rPr>
        <w:t xml:space="preserve"> acceptable definitions of the identified ownership interests, as applicable, are:</w:t>
      </w: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p>
    <w:p w:rsidR="00AD50FA" w:rsidRPr="00F2276A" w:rsidRDefault="00AD50FA" w:rsidP="00AD50FA">
      <w:pPr>
        <w:pStyle w:val="ListParagraph"/>
        <w:numPr>
          <w:ilvl w:val="1"/>
          <w:numId w:val="11"/>
        </w:numPr>
        <w:ind w:left="1080"/>
        <w:rPr>
          <w:rFonts w:ascii="Times New Roman" w:hAnsi="Times New Roman"/>
          <w:spacing w:val="-3"/>
          <w:sz w:val="22"/>
          <w:szCs w:val="22"/>
        </w:rPr>
      </w:pPr>
      <w:r w:rsidRPr="00F2276A">
        <w:rPr>
          <w:rFonts w:ascii="Times New Roman" w:hAnsi="Times New Roman"/>
          <w:spacing w:val="-3"/>
          <w:sz w:val="22"/>
          <w:szCs w:val="22"/>
          <w:u w:val="single"/>
        </w:rPr>
        <w:t>Fee Simple Estate</w:t>
      </w:r>
      <w:r w:rsidRPr="00F2276A">
        <w:rPr>
          <w:rFonts w:ascii="Times New Roman" w:hAnsi="Times New Roman"/>
          <w:spacing w:val="-3"/>
          <w:sz w:val="22"/>
          <w:szCs w:val="22"/>
        </w:rPr>
        <w:t xml:space="preserve">:  Absolute ownership unencumbered by any other interest or estate, subject only to the limitations imposed by the governmental powers of taxation, eminent domain, police power, </w:t>
      </w:r>
      <w:r w:rsidR="009B612C">
        <w:rPr>
          <w:rFonts w:ascii="Times New Roman" w:hAnsi="Times New Roman"/>
          <w:spacing w:val="-3"/>
          <w:sz w:val="22"/>
          <w:szCs w:val="22"/>
        </w:rPr>
        <w:t>or</w:t>
      </w:r>
      <w:r w:rsidR="009B612C" w:rsidRPr="00F2276A">
        <w:rPr>
          <w:rFonts w:ascii="Times New Roman" w:hAnsi="Times New Roman"/>
          <w:spacing w:val="-3"/>
          <w:sz w:val="22"/>
          <w:szCs w:val="22"/>
        </w:rPr>
        <w:t xml:space="preserve"> </w:t>
      </w:r>
      <w:r w:rsidRPr="00F2276A">
        <w:rPr>
          <w:rFonts w:ascii="Times New Roman" w:hAnsi="Times New Roman"/>
          <w:spacing w:val="-3"/>
          <w:sz w:val="22"/>
          <w:szCs w:val="22"/>
        </w:rPr>
        <w:t>escheat.</w:t>
      </w:r>
    </w:p>
    <w:p w:rsidR="00AD50FA" w:rsidRPr="00F2276A" w:rsidRDefault="00AD50FA" w:rsidP="00AD50FA">
      <w:pPr>
        <w:pStyle w:val="ListParagraph"/>
        <w:ind w:left="1080"/>
        <w:rPr>
          <w:rFonts w:ascii="Times New Roman" w:hAnsi="Times New Roman"/>
          <w:spacing w:val="-3"/>
          <w:sz w:val="22"/>
          <w:szCs w:val="22"/>
        </w:rPr>
      </w:pPr>
    </w:p>
    <w:p w:rsidR="00AD50FA" w:rsidRPr="00F2276A" w:rsidRDefault="00AD50FA" w:rsidP="00AD50FA">
      <w:pPr>
        <w:pStyle w:val="ListParagraph"/>
        <w:numPr>
          <w:ilvl w:val="1"/>
          <w:numId w:val="11"/>
        </w:numPr>
        <w:ind w:left="1080"/>
        <w:rPr>
          <w:rFonts w:ascii="Times New Roman" w:hAnsi="Times New Roman"/>
          <w:spacing w:val="-3"/>
          <w:sz w:val="22"/>
          <w:szCs w:val="22"/>
        </w:rPr>
      </w:pPr>
      <w:r w:rsidRPr="00F2276A">
        <w:rPr>
          <w:rFonts w:ascii="Times New Roman" w:hAnsi="Times New Roman"/>
          <w:spacing w:val="-3"/>
          <w:sz w:val="22"/>
          <w:szCs w:val="22"/>
          <w:u w:val="single"/>
        </w:rPr>
        <w:t>Leased Fee Estate</w:t>
      </w:r>
      <w:r w:rsidRPr="00F2276A">
        <w:rPr>
          <w:rFonts w:ascii="Times New Roman" w:hAnsi="Times New Roman"/>
          <w:spacing w:val="-3"/>
          <w:sz w:val="22"/>
          <w:szCs w:val="22"/>
        </w:rPr>
        <w:t>:  An ownership interest held by a landlord with the rights of use and occupancy conveyed by a lease to others. The rights of the lessor (the leased fee owner) and the leased fee are specified by contract terms contained within the lease.</w:t>
      </w:r>
    </w:p>
    <w:p w:rsidR="00AD50FA" w:rsidRPr="00F2276A" w:rsidRDefault="00AD50FA" w:rsidP="00AD50FA">
      <w:pPr>
        <w:rPr>
          <w:rFonts w:ascii="Times New Roman" w:hAnsi="Times New Roman"/>
          <w:spacing w:val="-3"/>
          <w:sz w:val="22"/>
          <w:szCs w:val="22"/>
        </w:rPr>
      </w:pPr>
      <w:r w:rsidRPr="00F2276A">
        <w:rPr>
          <w:rFonts w:ascii="Times New Roman" w:hAnsi="Times New Roman"/>
          <w:spacing w:val="-3"/>
          <w:sz w:val="22"/>
          <w:szCs w:val="22"/>
        </w:rPr>
        <w:t xml:space="preserve"> </w:t>
      </w:r>
    </w:p>
    <w:p w:rsidR="00AD50FA" w:rsidRPr="00F2276A" w:rsidRDefault="00AD50FA" w:rsidP="00AD50FA">
      <w:pPr>
        <w:pStyle w:val="ListParagraph"/>
        <w:numPr>
          <w:ilvl w:val="1"/>
          <w:numId w:val="11"/>
        </w:numPr>
        <w:tabs>
          <w:tab w:val="left" w:pos="-720"/>
          <w:tab w:val="left" w:pos="0"/>
        </w:tabs>
        <w:suppressAutoHyphens/>
        <w:spacing w:line="276" w:lineRule="auto"/>
        <w:ind w:left="1080"/>
        <w:jc w:val="both"/>
        <w:rPr>
          <w:rFonts w:ascii="Times New Roman" w:hAnsi="Times New Roman"/>
          <w:spacing w:val="-3"/>
          <w:sz w:val="22"/>
          <w:szCs w:val="22"/>
        </w:rPr>
      </w:pPr>
      <w:r w:rsidRPr="00F2276A">
        <w:rPr>
          <w:rFonts w:ascii="Times New Roman" w:hAnsi="Times New Roman"/>
          <w:spacing w:val="-3"/>
          <w:sz w:val="22"/>
          <w:szCs w:val="22"/>
          <w:u w:val="single"/>
        </w:rPr>
        <w:t>Leasehold Estate</w:t>
      </w:r>
      <w:r w:rsidRPr="00F2276A">
        <w:rPr>
          <w:rFonts w:ascii="Times New Roman" w:hAnsi="Times New Roman"/>
          <w:spacing w:val="-3"/>
          <w:sz w:val="22"/>
          <w:szCs w:val="22"/>
        </w:rPr>
        <w:t>:  The interest held by the lessee (the tenant or renter) through a lease transferring the rights of use and occupancy for a stated term under certain conditions.</w:t>
      </w:r>
    </w:p>
    <w:p w:rsidR="00AD50FA" w:rsidRPr="00F2276A" w:rsidRDefault="00AD50FA" w:rsidP="00AD50FA">
      <w:pPr>
        <w:tabs>
          <w:tab w:val="left" w:pos="-720"/>
          <w:tab w:val="left" w:pos="0"/>
        </w:tabs>
        <w:suppressAutoHyphens/>
        <w:spacing w:line="276" w:lineRule="auto"/>
        <w:jc w:val="both"/>
        <w:rPr>
          <w:rFonts w:ascii="Times New Roman" w:hAnsi="Times New Roman"/>
          <w:spacing w:val="-3"/>
          <w:sz w:val="22"/>
          <w:szCs w:val="22"/>
        </w:rPr>
      </w:pP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Style w:val="DeltaViewInsertion"/>
          <w:rFonts w:ascii="Times New Roman" w:hAnsi="Times New Roman"/>
          <w:color w:val="auto"/>
          <w:spacing w:val="-3"/>
          <w:sz w:val="22"/>
          <w:szCs w:val="22"/>
          <w:u w:val="none"/>
        </w:rPr>
        <w:t>12.</w:t>
      </w:r>
      <w:r w:rsidRPr="00F2276A">
        <w:rPr>
          <w:rStyle w:val="DeltaViewInsertion"/>
          <w:rFonts w:ascii="Times New Roman" w:hAnsi="Times New Roman"/>
          <w:color w:val="auto"/>
          <w:spacing w:val="-3"/>
          <w:sz w:val="22"/>
          <w:szCs w:val="22"/>
          <w:u w:val="none"/>
        </w:rPr>
        <w:tab/>
      </w:r>
      <w:r w:rsidRPr="00F2276A">
        <w:rPr>
          <w:rStyle w:val="DeltaViewInsertion"/>
          <w:rFonts w:ascii="Times New Roman" w:hAnsi="Times New Roman"/>
          <w:color w:val="auto"/>
          <w:spacing w:val="-3"/>
          <w:sz w:val="22"/>
          <w:szCs w:val="22"/>
          <w:u w:val="single"/>
        </w:rPr>
        <w:t>Property Condition and Expert Reports</w:t>
      </w:r>
      <w:r w:rsidRPr="00F2276A">
        <w:rPr>
          <w:rStyle w:val="DeltaViewInsertion"/>
          <w:rFonts w:ascii="Times New Roman" w:hAnsi="Times New Roman"/>
          <w:color w:val="auto"/>
          <w:spacing w:val="-3"/>
          <w:sz w:val="22"/>
          <w:szCs w:val="22"/>
          <w:u w:val="none"/>
        </w:rPr>
        <w:t xml:space="preserve">. The Appraiser shall analyze and discuss appropriate </w:t>
      </w:r>
      <w:r w:rsidRPr="00F2276A">
        <w:rPr>
          <w:rStyle w:val="DeltaViewInsertion"/>
          <w:rFonts w:ascii="Times New Roman" w:hAnsi="Times New Roman"/>
          <w:color w:val="auto"/>
          <w:spacing w:val="-3"/>
          <w:sz w:val="22"/>
          <w:szCs w:val="22"/>
          <w:u w:val="none"/>
        </w:rPr>
        <w:lastRenderedPageBreak/>
        <w:t>deductions and discounts for proposed construction or renovation.  D</w:t>
      </w:r>
      <w:r w:rsidRPr="00F2276A">
        <w:rPr>
          <w:rFonts w:ascii="Times New Roman" w:hAnsi="Times New Roman"/>
          <w:spacing w:val="-3"/>
          <w:sz w:val="22"/>
          <w:szCs w:val="22"/>
        </w:rPr>
        <w:t xml:space="preserve">uring the course of the assignment the Appraiser may be supplied </w:t>
      </w:r>
      <w:r w:rsidRPr="0042452E">
        <w:rPr>
          <w:rFonts w:ascii="Times New Roman" w:hAnsi="Times New Roman"/>
          <w:spacing w:val="-3"/>
          <w:sz w:val="22"/>
          <w:szCs w:val="22"/>
        </w:rPr>
        <w:t>with a property condition assessment or</w:t>
      </w:r>
      <w:r w:rsidRPr="00F2276A">
        <w:rPr>
          <w:rFonts w:ascii="Times New Roman" w:hAnsi="Times New Roman"/>
          <w:spacing w:val="-3"/>
          <w:sz w:val="22"/>
          <w:szCs w:val="22"/>
        </w:rPr>
        <w:t xml:space="preserve"> other engineering reports conducted for the benefit of the Clients which includes an expert’s estimate of cost to cure deferred maintenance. The Appraiser shall consider the expert’s estimated costs in making the final determination of </w:t>
      </w:r>
      <w:r w:rsidRPr="0042452E">
        <w:rPr>
          <w:rFonts w:ascii="Times New Roman" w:hAnsi="Times New Roman"/>
          <w:spacing w:val="-3"/>
          <w:sz w:val="22"/>
          <w:szCs w:val="22"/>
        </w:rPr>
        <w:t>market value</w:t>
      </w:r>
      <w:r w:rsidRPr="00F2276A">
        <w:rPr>
          <w:rFonts w:ascii="Times New Roman" w:hAnsi="Times New Roman"/>
          <w:spacing w:val="-3"/>
          <w:sz w:val="22"/>
          <w:szCs w:val="22"/>
        </w:rPr>
        <w:t xml:space="preserve"> and include a discussion in the Appraisal Report. The Appraiser shall document in the appraisal any discussions held with the expert including, but not limited to, name of contact and date of conversation. The Appraiser shall reconcile any observations from the on-site inspection with a summary of cost to cure and discuss concurrence or contradiction of findings in the expert report(s).</w:t>
      </w:r>
    </w:p>
    <w:p w:rsidR="00AD50FA" w:rsidRPr="00F2276A" w:rsidRDefault="00AD50FA" w:rsidP="00AD50FA">
      <w:pPr>
        <w:tabs>
          <w:tab w:val="left" w:pos="-720"/>
          <w:tab w:val="left" w:pos="0"/>
          <w:tab w:val="left" w:pos="720"/>
        </w:tabs>
        <w:suppressAutoHyphens/>
        <w:spacing w:line="276" w:lineRule="auto"/>
        <w:jc w:val="both"/>
        <w:rPr>
          <w:rFonts w:ascii="Times New Roman" w:hAnsi="Times New Roman"/>
          <w:sz w:val="22"/>
          <w:szCs w:val="22"/>
        </w:rPr>
      </w:pP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Style w:val="DeltaViewInsertion"/>
          <w:rFonts w:ascii="Times New Roman" w:hAnsi="Times New Roman"/>
          <w:color w:val="auto"/>
          <w:sz w:val="22"/>
          <w:szCs w:val="22"/>
          <w:u w:val="none"/>
        </w:rPr>
        <w:t>13.</w:t>
      </w:r>
      <w:r w:rsidRPr="00F2276A">
        <w:rPr>
          <w:rStyle w:val="DeltaViewInsertion"/>
          <w:rFonts w:ascii="Times New Roman" w:hAnsi="Times New Roman"/>
          <w:color w:val="auto"/>
          <w:sz w:val="22"/>
          <w:szCs w:val="22"/>
          <w:u w:val="none"/>
        </w:rPr>
        <w:tab/>
      </w:r>
      <w:r w:rsidRPr="00F2276A">
        <w:rPr>
          <w:rStyle w:val="DeltaViewInsertion"/>
          <w:rFonts w:ascii="Times New Roman" w:hAnsi="Times New Roman"/>
          <w:color w:val="auto"/>
          <w:sz w:val="22"/>
          <w:szCs w:val="22"/>
          <w:u w:val="single"/>
        </w:rPr>
        <w:t>Property Taxes</w:t>
      </w:r>
      <w:r w:rsidRPr="00F2276A">
        <w:rPr>
          <w:rStyle w:val="DeltaViewInsertion"/>
          <w:rFonts w:ascii="Times New Roman" w:hAnsi="Times New Roman"/>
          <w:color w:val="auto"/>
          <w:sz w:val="22"/>
          <w:szCs w:val="22"/>
          <w:u w:val="none"/>
        </w:rPr>
        <w:t>. If during the course of the assignment the Appraiser is supplied with evidence of arrearages of real property taxes, the Appraiser shall research and disclose in the Appraisal Report the estimated cost to cure such arrearages</w:t>
      </w:r>
      <w:r w:rsidRPr="00F2276A">
        <w:rPr>
          <w:rFonts w:ascii="Times New Roman" w:hAnsi="Times New Roman"/>
          <w:spacing w:val="-3"/>
          <w:sz w:val="22"/>
          <w:szCs w:val="22"/>
        </w:rPr>
        <w:t xml:space="preserve">.  However, such cost to cure arrearages should not be included in determining the </w:t>
      </w:r>
      <w:r w:rsidR="009B612C">
        <w:rPr>
          <w:rFonts w:ascii="Times New Roman" w:hAnsi="Times New Roman"/>
          <w:spacing w:val="-3"/>
          <w:sz w:val="22"/>
          <w:szCs w:val="22"/>
        </w:rPr>
        <w:t>M</w:t>
      </w:r>
      <w:r w:rsidRPr="0042452E">
        <w:rPr>
          <w:rFonts w:ascii="Times New Roman" w:hAnsi="Times New Roman"/>
          <w:spacing w:val="-3"/>
          <w:sz w:val="22"/>
          <w:szCs w:val="22"/>
        </w:rPr>
        <w:t xml:space="preserve">arket </w:t>
      </w:r>
      <w:r w:rsidR="009B612C">
        <w:rPr>
          <w:rFonts w:ascii="Times New Roman" w:hAnsi="Times New Roman"/>
          <w:spacing w:val="-3"/>
          <w:sz w:val="22"/>
          <w:szCs w:val="22"/>
        </w:rPr>
        <w:t>V</w:t>
      </w:r>
      <w:r w:rsidRPr="0042452E">
        <w:rPr>
          <w:rFonts w:ascii="Times New Roman" w:hAnsi="Times New Roman"/>
          <w:spacing w:val="-3"/>
          <w:sz w:val="22"/>
          <w:szCs w:val="22"/>
        </w:rPr>
        <w:t>alue</w:t>
      </w:r>
      <w:r w:rsidRPr="00F2276A">
        <w:rPr>
          <w:rFonts w:ascii="Times New Roman" w:hAnsi="Times New Roman"/>
          <w:spacing w:val="-3"/>
          <w:sz w:val="22"/>
          <w:szCs w:val="22"/>
        </w:rPr>
        <w:t xml:space="preserve"> of the Property.</w:t>
      </w: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p>
    <w:p w:rsidR="00AD50FA" w:rsidRPr="00F2276A" w:rsidRDefault="00AD50FA" w:rsidP="00AD50FA">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14.</w:t>
      </w:r>
      <w:r w:rsidRPr="00F2276A">
        <w:rPr>
          <w:rFonts w:ascii="Times New Roman" w:hAnsi="Times New Roman"/>
          <w:spacing w:val="-3"/>
          <w:sz w:val="22"/>
          <w:szCs w:val="22"/>
        </w:rPr>
        <w:tab/>
      </w:r>
      <w:r w:rsidRPr="00F2276A">
        <w:rPr>
          <w:rFonts w:ascii="Times New Roman" w:hAnsi="Times New Roman"/>
          <w:spacing w:val="-3"/>
          <w:sz w:val="22"/>
          <w:szCs w:val="22"/>
          <w:u w:val="single"/>
        </w:rPr>
        <w:t>Client</w:t>
      </w:r>
      <w:r w:rsidR="00715A6B">
        <w:rPr>
          <w:rFonts w:ascii="Times New Roman" w:hAnsi="Times New Roman"/>
          <w:spacing w:val="-3"/>
          <w:sz w:val="22"/>
          <w:szCs w:val="22"/>
          <w:u w:val="single"/>
        </w:rPr>
        <w:t>’s</w:t>
      </w:r>
      <w:r w:rsidRPr="00F2276A">
        <w:rPr>
          <w:rFonts w:ascii="Times New Roman" w:hAnsi="Times New Roman"/>
          <w:spacing w:val="-3"/>
          <w:sz w:val="22"/>
          <w:szCs w:val="22"/>
          <w:u w:val="single"/>
        </w:rPr>
        <w:t xml:space="preserve"> Anti-Redlining Policy</w:t>
      </w:r>
      <w:r w:rsidRPr="00F2276A">
        <w:rPr>
          <w:rFonts w:ascii="Times New Roman" w:hAnsi="Times New Roman"/>
          <w:spacing w:val="-3"/>
          <w:sz w:val="22"/>
          <w:szCs w:val="22"/>
        </w:rPr>
        <w:t>: The Client</w:t>
      </w:r>
      <w:r w:rsidRPr="00715A6B">
        <w:rPr>
          <w:rFonts w:ascii="Times New Roman" w:hAnsi="Times New Roman"/>
          <w:spacing w:val="-3"/>
          <w:sz w:val="22"/>
          <w:szCs w:val="22"/>
        </w:rPr>
        <w:t xml:space="preserve"> </w:t>
      </w:r>
      <w:r w:rsidR="00495BEC" w:rsidRPr="00715A6B">
        <w:rPr>
          <w:rFonts w:ascii="Times New Roman" w:hAnsi="Times New Roman"/>
          <w:spacing w:val="-3"/>
          <w:sz w:val="22"/>
          <w:szCs w:val="22"/>
        </w:rPr>
        <w:t>doe</w:t>
      </w:r>
      <w:r w:rsidR="005B79CB">
        <w:rPr>
          <w:rFonts w:ascii="Times New Roman" w:hAnsi="Times New Roman"/>
          <w:spacing w:val="-3"/>
          <w:sz w:val="22"/>
          <w:szCs w:val="22"/>
        </w:rPr>
        <w:t xml:space="preserve">s </w:t>
      </w:r>
      <w:r w:rsidRPr="00F2276A">
        <w:rPr>
          <w:rFonts w:ascii="Times New Roman" w:hAnsi="Times New Roman"/>
          <w:spacing w:val="-3"/>
          <w:sz w:val="22"/>
          <w:szCs w:val="22"/>
        </w:rPr>
        <w:t xml:space="preserve">not designate certain areas as being acceptable or unacceptable. In other words, the Client </w:t>
      </w:r>
      <w:r w:rsidR="00495BEC" w:rsidRPr="00715A6B">
        <w:rPr>
          <w:rFonts w:ascii="Times New Roman" w:hAnsi="Times New Roman"/>
          <w:spacing w:val="-3"/>
          <w:sz w:val="22"/>
          <w:szCs w:val="22"/>
        </w:rPr>
        <w:t>does</w:t>
      </w:r>
      <w:r w:rsidR="005B79CB">
        <w:rPr>
          <w:rFonts w:ascii="Times New Roman" w:hAnsi="Times New Roman"/>
          <w:spacing w:val="-3"/>
          <w:sz w:val="22"/>
          <w:szCs w:val="22"/>
        </w:rPr>
        <w:t xml:space="preserve"> </w:t>
      </w:r>
      <w:r w:rsidRPr="00F2276A">
        <w:rPr>
          <w:rFonts w:ascii="Times New Roman" w:hAnsi="Times New Roman"/>
          <w:spacing w:val="-3"/>
          <w:sz w:val="22"/>
          <w:szCs w:val="22"/>
        </w:rPr>
        <w:t>not "redline." Location factors are fundamental to Property appraising and there is nothing improper about developing an appraisal on the basis of a realistic perception of risk in a given market area. Redlining can occur when perceived Property risks are based on improper location factors (such as the arbitrary imposition of unfavorable valuation terms on the basis of geographic area) or when the perceptions of risk are derived from factors that do not predict risk, either reliably or not at all. An example of a factor that is not predictive of risk is race, and racial redlining is illegal under federal law. Other factors that serve as a proxy for race are equally impermissible. The Appraiser must be sensitive to these impermissible factors and apply the Client</w:t>
      </w:r>
      <w:r w:rsidR="00495BEC">
        <w:rPr>
          <w:rFonts w:ascii="Times New Roman" w:hAnsi="Times New Roman"/>
          <w:spacing w:val="-3"/>
          <w:sz w:val="22"/>
          <w:szCs w:val="22"/>
        </w:rPr>
        <w:t>’s</w:t>
      </w:r>
      <w:r w:rsidRPr="00F2276A">
        <w:rPr>
          <w:rFonts w:ascii="Times New Roman" w:hAnsi="Times New Roman"/>
          <w:spacing w:val="-3"/>
          <w:sz w:val="22"/>
          <w:szCs w:val="22"/>
        </w:rPr>
        <w:t xml:space="preserve"> guidelines in a consistent, equitable and </w:t>
      </w:r>
      <w:r w:rsidR="00715A6B">
        <w:rPr>
          <w:rFonts w:ascii="Times New Roman" w:hAnsi="Times New Roman"/>
          <w:spacing w:val="-3"/>
          <w:sz w:val="22"/>
          <w:szCs w:val="22"/>
        </w:rPr>
        <w:t>legal manner. None of the Client’</w:t>
      </w:r>
      <w:r w:rsidR="00495BEC">
        <w:rPr>
          <w:rFonts w:ascii="Times New Roman" w:hAnsi="Times New Roman"/>
          <w:spacing w:val="-3"/>
          <w:sz w:val="22"/>
          <w:szCs w:val="22"/>
        </w:rPr>
        <w:t>s</w:t>
      </w:r>
      <w:r w:rsidRPr="00F2276A">
        <w:rPr>
          <w:rFonts w:ascii="Times New Roman" w:hAnsi="Times New Roman"/>
          <w:spacing w:val="-3"/>
          <w:sz w:val="22"/>
          <w:szCs w:val="22"/>
        </w:rPr>
        <w:t xml:space="preserve"> guidelines are intended to foster redlining. If any provision is interpreted to do so, it has been misunderstood.</w:t>
      </w:r>
    </w:p>
    <w:p w:rsidR="00AD50FA" w:rsidRPr="00F2276A" w:rsidRDefault="00AD50FA" w:rsidP="00AD50FA">
      <w:pPr>
        <w:widowControl/>
        <w:jc w:val="both"/>
        <w:rPr>
          <w:rFonts w:ascii="Times New Roman" w:hAnsi="Times New Roman"/>
          <w:spacing w:val="-3"/>
          <w:sz w:val="22"/>
          <w:szCs w:val="22"/>
        </w:rPr>
      </w:pPr>
    </w:p>
    <w:p w:rsidR="00AD50FA" w:rsidRPr="00F2276A" w:rsidRDefault="00AD50FA" w:rsidP="00AD50FA">
      <w:pPr>
        <w:autoSpaceDE w:val="0"/>
        <w:autoSpaceDN w:val="0"/>
        <w:adjustRightInd w:val="0"/>
        <w:jc w:val="both"/>
        <w:rPr>
          <w:rFonts w:ascii="Times New Roman" w:hAnsi="Times New Roman"/>
          <w:sz w:val="22"/>
          <w:szCs w:val="22"/>
        </w:rPr>
      </w:pPr>
      <w:r w:rsidRPr="00F2276A">
        <w:rPr>
          <w:rFonts w:ascii="Times New Roman" w:hAnsi="Times New Roman"/>
          <w:b/>
          <w:sz w:val="22"/>
          <w:szCs w:val="22"/>
        </w:rPr>
        <w:t>Land Use Restriction Agreements</w:t>
      </w:r>
      <w:r w:rsidR="009B612C">
        <w:rPr>
          <w:rFonts w:ascii="Times New Roman" w:hAnsi="Times New Roman"/>
          <w:b/>
          <w:sz w:val="22"/>
          <w:szCs w:val="22"/>
        </w:rPr>
        <w:t xml:space="preserve"> (“LURA”)</w:t>
      </w:r>
      <w:r w:rsidRPr="00F2276A">
        <w:rPr>
          <w:rFonts w:ascii="Times New Roman" w:hAnsi="Times New Roman"/>
          <w:sz w:val="22"/>
          <w:szCs w:val="22"/>
        </w:rPr>
        <w:t xml:space="preserve">. In the </w:t>
      </w:r>
      <w:r w:rsidRPr="00F2276A">
        <w:rPr>
          <w:rFonts w:ascii="Times New Roman" w:hAnsi="Times New Roman"/>
          <w:i/>
          <w:sz w:val="22"/>
          <w:szCs w:val="22"/>
        </w:rPr>
        <w:t>appraisal of a property</w:t>
      </w:r>
      <w:r w:rsidRPr="00F2276A">
        <w:rPr>
          <w:rFonts w:ascii="Times New Roman" w:hAnsi="Times New Roman"/>
          <w:sz w:val="22"/>
          <w:szCs w:val="22"/>
        </w:rPr>
        <w:t xml:space="preserve"> that is subject to a LURA and having unused </w:t>
      </w:r>
      <w:r w:rsidR="009B612C">
        <w:rPr>
          <w:rFonts w:ascii="Times New Roman" w:hAnsi="Times New Roman"/>
          <w:sz w:val="22"/>
          <w:szCs w:val="22"/>
        </w:rPr>
        <w:t>Low Income Housing Tax Credits (“</w:t>
      </w:r>
      <w:r w:rsidRPr="00F2276A">
        <w:rPr>
          <w:rFonts w:ascii="Times New Roman" w:hAnsi="Times New Roman"/>
          <w:sz w:val="22"/>
          <w:szCs w:val="22"/>
        </w:rPr>
        <w:t>LIHTC</w:t>
      </w:r>
      <w:r w:rsidR="009B612C">
        <w:rPr>
          <w:rFonts w:ascii="Times New Roman" w:hAnsi="Times New Roman"/>
          <w:sz w:val="22"/>
          <w:szCs w:val="22"/>
        </w:rPr>
        <w:t>”)</w:t>
      </w:r>
      <w:r w:rsidRPr="00F2276A">
        <w:rPr>
          <w:rFonts w:ascii="Times New Roman" w:hAnsi="Times New Roman"/>
          <w:sz w:val="22"/>
          <w:szCs w:val="22"/>
        </w:rPr>
        <w:t>, other Tax Credits, or other affordability or tenancy r</w:t>
      </w:r>
      <w:r>
        <w:rPr>
          <w:rFonts w:ascii="Times New Roman" w:hAnsi="Times New Roman"/>
          <w:sz w:val="22"/>
          <w:szCs w:val="22"/>
        </w:rPr>
        <w:t>estrictions</w:t>
      </w:r>
      <w:r w:rsidRPr="00F2276A">
        <w:rPr>
          <w:rFonts w:ascii="Times New Roman" w:hAnsi="Times New Roman"/>
          <w:sz w:val="22"/>
          <w:szCs w:val="22"/>
        </w:rPr>
        <w:t xml:space="preserve"> that transferred to Fannie Mae as a result of foreclosure, the following requirements </w:t>
      </w:r>
      <w:r>
        <w:rPr>
          <w:rFonts w:ascii="Times New Roman" w:hAnsi="Times New Roman"/>
          <w:sz w:val="22"/>
          <w:szCs w:val="22"/>
        </w:rPr>
        <w:t>will</w:t>
      </w:r>
      <w:r w:rsidRPr="00F2276A">
        <w:rPr>
          <w:rFonts w:ascii="Times New Roman" w:hAnsi="Times New Roman"/>
          <w:sz w:val="22"/>
          <w:szCs w:val="22"/>
        </w:rPr>
        <w:t xml:space="preserve"> also apply.  </w:t>
      </w:r>
    </w:p>
    <w:p w:rsidR="00AD50FA" w:rsidRPr="00F2276A" w:rsidRDefault="00AD50FA" w:rsidP="00AD50FA">
      <w:pPr>
        <w:autoSpaceDE w:val="0"/>
        <w:autoSpaceDN w:val="0"/>
        <w:adjustRightInd w:val="0"/>
        <w:jc w:val="both"/>
        <w:rPr>
          <w:rFonts w:ascii="Times New Roman" w:hAnsi="Times New Roman"/>
          <w:sz w:val="22"/>
          <w:szCs w:val="22"/>
        </w:rPr>
      </w:pPr>
    </w:p>
    <w:p w:rsidR="00AD50FA" w:rsidRDefault="00AD50FA" w:rsidP="00AD50FA">
      <w:pPr>
        <w:autoSpaceDE w:val="0"/>
        <w:autoSpaceDN w:val="0"/>
        <w:adjustRightInd w:val="0"/>
        <w:jc w:val="both"/>
        <w:rPr>
          <w:rFonts w:ascii="Times New Roman" w:hAnsi="Times New Roman"/>
          <w:sz w:val="22"/>
          <w:szCs w:val="22"/>
        </w:rPr>
      </w:pPr>
      <w:r w:rsidRPr="00F2276A">
        <w:rPr>
          <w:rFonts w:ascii="Times New Roman" w:hAnsi="Times New Roman"/>
          <w:sz w:val="22"/>
          <w:szCs w:val="22"/>
        </w:rPr>
        <w:t>Additional guidance may be provided by the Client</w:t>
      </w:r>
      <w:r w:rsidR="00715A6B">
        <w:rPr>
          <w:rFonts w:ascii="Times New Roman" w:hAnsi="Times New Roman"/>
          <w:sz w:val="22"/>
          <w:szCs w:val="22"/>
        </w:rPr>
        <w:t>’s</w:t>
      </w:r>
      <w:r w:rsidRPr="00F2276A">
        <w:rPr>
          <w:rFonts w:ascii="Times New Roman" w:hAnsi="Times New Roman"/>
          <w:sz w:val="22"/>
          <w:szCs w:val="22"/>
        </w:rPr>
        <w:t xml:space="preserve"> respective legal counsel regarding any additional considerations associated with the LURA that may impact value.</w:t>
      </w:r>
      <w:r>
        <w:rPr>
          <w:rFonts w:ascii="Times New Roman" w:hAnsi="Times New Roman"/>
          <w:sz w:val="22"/>
          <w:szCs w:val="22"/>
        </w:rPr>
        <w:t xml:space="preserve"> </w:t>
      </w:r>
    </w:p>
    <w:p w:rsidR="00AD50FA" w:rsidRPr="00F2276A" w:rsidRDefault="00AD50FA" w:rsidP="00AD50FA">
      <w:pPr>
        <w:autoSpaceDE w:val="0"/>
        <w:autoSpaceDN w:val="0"/>
        <w:adjustRightInd w:val="0"/>
        <w:jc w:val="both"/>
        <w:rPr>
          <w:rFonts w:ascii="Times New Roman" w:hAnsi="Times New Roman"/>
          <w:sz w:val="22"/>
          <w:szCs w:val="22"/>
        </w:rPr>
      </w:pPr>
    </w:p>
    <w:p w:rsidR="00AD50FA" w:rsidRPr="00F2276A" w:rsidRDefault="00AD50FA" w:rsidP="00AD50FA">
      <w:pPr>
        <w:keepNext/>
        <w:widowControl/>
        <w:autoSpaceDE w:val="0"/>
        <w:autoSpaceDN w:val="0"/>
        <w:adjustRightInd w:val="0"/>
        <w:ind w:left="720" w:hanging="720"/>
        <w:jc w:val="both"/>
        <w:rPr>
          <w:rFonts w:ascii="Times New Roman" w:hAnsi="Times New Roman"/>
          <w:sz w:val="22"/>
          <w:szCs w:val="22"/>
        </w:rPr>
      </w:pPr>
      <w:r w:rsidRPr="00F2276A">
        <w:rPr>
          <w:rFonts w:ascii="Times New Roman" w:hAnsi="Times New Roman"/>
          <w:spacing w:val="-3"/>
          <w:sz w:val="22"/>
          <w:szCs w:val="22"/>
        </w:rPr>
        <w:t>15.</w:t>
      </w:r>
      <w:r w:rsidRPr="00F2276A">
        <w:rPr>
          <w:rFonts w:ascii="Times New Roman" w:hAnsi="Times New Roman"/>
          <w:spacing w:val="-3"/>
          <w:sz w:val="22"/>
          <w:szCs w:val="22"/>
        </w:rPr>
        <w:tab/>
      </w:r>
      <w:r w:rsidRPr="00F2276A">
        <w:rPr>
          <w:rFonts w:ascii="Times New Roman" w:hAnsi="Times New Roman"/>
          <w:sz w:val="22"/>
          <w:szCs w:val="22"/>
          <w:u w:val="single"/>
        </w:rPr>
        <w:t>“As Restricted” Value Premise</w:t>
      </w:r>
      <w:r w:rsidRPr="00F2276A">
        <w:rPr>
          <w:rFonts w:ascii="Times New Roman" w:hAnsi="Times New Roman"/>
          <w:sz w:val="22"/>
          <w:szCs w:val="22"/>
        </w:rPr>
        <w:t>. Wh</w:t>
      </w:r>
      <w:r>
        <w:rPr>
          <w:rFonts w:ascii="Times New Roman" w:hAnsi="Times New Roman"/>
          <w:sz w:val="22"/>
          <w:szCs w:val="22"/>
        </w:rPr>
        <w:t xml:space="preserve">en applicable, the Appraiser </w:t>
      </w:r>
      <w:r w:rsidRPr="00D4060F">
        <w:rPr>
          <w:rFonts w:ascii="Times New Roman" w:hAnsi="Times New Roman"/>
          <w:sz w:val="22"/>
          <w:szCs w:val="22"/>
        </w:rPr>
        <w:t>will</w:t>
      </w:r>
      <w:r w:rsidRPr="00F2276A">
        <w:rPr>
          <w:rFonts w:ascii="Times New Roman" w:hAnsi="Times New Roman"/>
          <w:sz w:val="22"/>
          <w:szCs w:val="22"/>
        </w:rPr>
        <w:t xml:space="preserve"> be instructed to value the Property in its “As Is” condition under the following two sets of assumptions: </w:t>
      </w:r>
    </w:p>
    <w:p w:rsidR="00AD50FA" w:rsidRPr="00F2276A" w:rsidRDefault="00AD50FA" w:rsidP="00AD50FA">
      <w:pPr>
        <w:pStyle w:val="ListParagraph"/>
        <w:numPr>
          <w:ilvl w:val="0"/>
          <w:numId w:val="8"/>
        </w:numPr>
        <w:autoSpaceDE w:val="0"/>
        <w:autoSpaceDN w:val="0"/>
        <w:adjustRightInd w:val="0"/>
        <w:jc w:val="both"/>
        <w:rPr>
          <w:rFonts w:ascii="Times New Roman" w:hAnsi="Times New Roman"/>
          <w:sz w:val="22"/>
          <w:szCs w:val="22"/>
        </w:rPr>
      </w:pPr>
      <w:r w:rsidRPr="00F2276A">
        <w:rPr>
          <w:rFonts w:ascii="Times New Roman" w:hAnsi="Times New Roman"/>
          <w:sz w:val="22"/>
          <w:szCs w:val="22"/>
        </w:rPr>
        <w:t xml:space="preserve">The first valuation scenario should assume that the existing LURA remains in-place and that rental rates are limited to the maximum allowable by the Tax Credit or other affordability or tenancy restriction statutes and regulations; and </w:t>
      </w:r>
    </w:p>
    <w:p w:rsidR="00AD50FA" w:rsidRPr="00F2276A" w:rsidRDefault="00AD50FA" w:rsidP="00AD50FA">
      <w:pPr>
        <w:pStyle w:val="ListParagraph"/>
        <w:numPr>
          <w:ilvl w:val="0"/>
          <w:numId w:val="8"/>
        </w:numPr>
        <w:autoSpaceDE w:val="0"/>
        <w:autoSpaceDN w:val="0"/>
        <w:adjustRightInd w:val="0"/>
        <w:jc w:val="both"/>
        <w:rPr>
          <w:rFonts w:ascii="Times New Roman" w:hAnsi="Times New Roman"/>
          <w:sz w:val="22"/>
          <w:szCs w:val="22"/>
        </w:rPr>
      </w:pPr>
      <w:r w:rsidRPr="00F2276A">
        <w:rPr>
          <w:rFonts w:ascii="Times New Roman" w:hAnsi="Times New Roman"/>
          <w:sz w:val="22"/>
          <w:szCs w:val="22"/>
        </w:rPr>
        <w:t>The second valuation scenario should assume that the LURA is extinguished as of the</w:t>
      </w:r>
      <w:r>
        <w:rPr>
          <w:rFonts w:ascii="Times New Roman" w:hAnsi="Times New Roman"/>
          <w:sz w:val="22"/>
          <w:szCs w:val="22"/>
        </w:rPr>
        <w:t xml:space="preserve"> </w:t>
      </w:r>
      <w:r w:rsidR="009B612C">
        <w:rPr>
          <w:rFonts w:ascii="Times New Roman" w:hAnsi="Times New Roman"/>
          <w:sz w:val="22"/>
          <w:szCs w:val="22"/>
        </w:rPr>
        <w:t>E</w:t>
      </w:r>
      <w:r w:rsidRPr="0042452E">
        <w:rPr>
          <w:rFonts w:ascii="Times New Roman" w:hAnsi="Times New Roman"/>
          <w:sz w:val="22"/>
          <w:szCs w:val="22"/>
        </w:rPr>
        <w:t xml:space="preserve">ffective </w:t>
      </w:r>
      <w:r w:rsidR="009B612C">
        <w:rPr>
          <w:rFonts w:ascii="Times New Roman" w:hAnsi="Times New Roman"/>
          <w:sz w:val="22"/>
          <w:szCs w:val="22"/>
        </w:rPr>
        <w:t>D</w:t>
      </w:r>
      <w:r w:rsidRPr="0042452E">
        <w:rPr>
          <w:rFonts w:ascii="Times New Roman" w:hAnsi="Times New Roman"/>
          <w:sz w:val="22"/>
          <w:szCs w:val="22"/>
        </w:rPr>
        <w:t xml:space="preserve">ate of </w:t>
      </w:r>
      <w:r w:rsidR="009B612C">
        <w:rPr>
          <w:rFonts w:ascii="Times New Roman" w:hAnsi="Times New Roman"/>
          <w:sz w:val="22"/>
          <w:szCs w:val="22"/>
        </w:rPr>
        <w:t>V</w:t>
      </w:r>
      <w:r w:rsidRPr="0042452E">
        <w:rPr>
          <w:rFonts w:ascii="Times New Roman" w:hAnsi="Times New Roman"/>
          <w:sz w:val="22"/>
          <w:szCs w:val="22"/>
        </w:rPr>
        <w:t>alue</w:t>
      </w:r>
      <w:r w:rsidRPr="00AC35F2">
        <w:rPr>
          <w:rFonts w:ascii="Times New Roman" w:hAnsi="Times New Roman"/>
          <w:color w:val="0070C0"/>
          <w:sz w:val="22"/>
          <w:szCs w:val="22"/>
        </w:rPr>
        <w:t xml:space="preserve"> </w:t>
      </w:r>
      <w:r w:rsidRPr="00AC35F2">
        <w:rPr>
          <w:rFonts w:ascii="Times New Roman" w:hAnsi="Times New Roman"/>
          <w:sz w:val="22"/>
          <w:szCs w:val="22"/>
        </w:rPr>
        <w:t>a</w:t>
      </w:r>
      <w:r w:rsidRPr="00F2276A">
        <w:rPr>
          <w:rFonts w:ascii="Times New Roman" w:hAnsi="Times New Roman"/>
          <w:sz w:val="22"/>
          <w:szCs w:val="22"/>
        </w:rPr>
        <w:t xml:space="preserve">nd that the units may be leased at market rates, subject to any restrictions that survive the LURA.  </w:t>
      </w:r>
    </w:p>
    <w:p w:rsidR="00AD50FA" w:rsidRPr="00F2276A" w:rsidRDefault="00AD50FA" w:rsidP="00AD50FA">
      <w:pPr>
        <w:autoSpaceDE w:val="0"/>
        <w:autoSpaceDN w:val="0"/>
        <w:adjustRightInd w:val="0"/>
        <w:jc w:val="both"/>
        <w:rPr>
          <w:rFonts w:ascii="Times New Roman" w:hAnsi="Times New Roman"/>
          <w:sz w:val="22"/>
          <w:szCs w:val="22"/>
        </w:rPr>
      </w:pPr>
    </w:p>
    <w:p w:rsidR="00AD50FA" w:rsidRPr="00F2276A" w:rsidRDefault="00AD50FA" w:rsidP="00AD50FA">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16.</w:t>
      </w:r>
      <w:r w:rsidRPr="00F2276A">
        <w:rPr>
          <w:rFonts w:ascii="Times New Roman" w:hAnsi="Times New Roman"/>
          <w:sz w:val="22"/>
          <w:szCs w:val="22"/>
        </w:rPr>
        <w:tab/>
      </w:r>
      <w:r w:rsidRPr="00F2276A">
        <w:rPr>
          <w:rFonts w:ascii="Times New Roman" w:hAnsi="Times New Roman"/>
          <w:sz w:val="22"/>
          <w:szCs w:val="22"/>
          <w:u w:val="single"/>
        </w:rPr>
        <w:t>Comparable Sales</w:t>
      </w:r>
      <w:r w:rsidRPr="00F2276A">
        <w:rPr>
          <w:rFonts w:ascii="Times New Roman" w:hAnsi="Times New Roman"/>
          <w:sz w:val="22"/>
          <w:szCs w:val="22"/>
        </w:rPr>
        <w:t xml:space="preserve">. In developing the Appraisal Report, the Appraiser should include both market and affordable property sales and clearly differentiate any comparable sales that are Tax Credit or other affordability or tenancy restricted properties from those which are not Tax Credit or restricted properties. </w:t>
      </w:r>
    </w:p>
    <w:p w:rsidR="00AD50FA" w:rsidRPr="00F2276A" w:rsidRDefault="00AD50FA" w:rsidP="00AD50FA">
      <w:pPr>
        <w:autoSpaceDE w:val="0"/>
        <w:autoSpaceDN w:val="0"/>
        <w:adjustRightInd w:val="0"/>
        <w:jc w:val="both"/>
        <w:rPr>
          <w:rFonts w:ascii="Times New Roman" w:hAnsi="Times New Roman"/>
          <w:sz w:val="22"/>
          <w:szCs w:val="22"/>
        </w:rPr>
      </w:pPr>
    </w:p>
    <w:p w:rsidR="00AD50FA" w:rsidRPr="00F2276A" w:rsidRDefault="00AD50FA" w:rsidP="00AD50FA">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17.</w:t>
      </w:r>
      <w:r w:rsidRPr="00F2276A">
        <w:rPr>
          <w:rFonts w:ascii="Times New Roman" w:hAnsi="Times New Roman"/>
          <w:sz w:val="22"/>
          <w:szCs w:val="22"/>
        </w:rPr>
        <w:tab/>
      </w:r>
      <w:r w:rsidRPr="00F2276A">
        <w:rPr>
          <w:rFonts w:ascii="Times New Roman" w:hAnsi="Times New Roman"/>
          <w:sz w:val="22"/>
          <w:szCs w:val="22"/>
          <w:u w:val="single"/>
        </w:rPr>
        <w:t>Surviving Contracts or Tax Abatements</w:t>
      </w:r>
      <w:r w:rsidRPr="00F2276A">
        <w:rPr>
          <w:rFonts w:ascii="Times New Roman" w:hAnsi="Times New Roman"/>
          <w:sz w:val="22"/>
          <w:szCs w:val="22"/>
        </w:rPr>
        <w:t>. The Appraiser should analyze and discuss the value benefit of any identified U.S. Housing and Urban Development (“HUD”) Section 8 contracts or tax abatements that are applicable to the Property and that would survive any foreclosure sale and re-sale of the Property.</w:t>
      </w:r>
    </w:p>
    <w:p w:rsidR="00AD50FA" w:rsidRPr="00F2276A" w:rsidRDefault="00AD50FA" w:rsidP="00AD50FA">
      <w:pPr>
        <w:autoSpaceDE w:val="0"/>
        <w:autoSpaceDN w:val="0"/>
        <w:adjustRightInd w:val="0"/>
        <w:ind w:left="720" w:hanging="720"/>
        <w:jc w:val="both"/>
        <w:rPr>
          <w:rFonts w:ascii="Times New Roman" w:hAnsi="Times New Roman"/>
          <w:sz w:val="22"/>
          <w:szCs w:val="22"/>
        </w:rPr>
      </w:pPr>
    </w:p>
    <w:p w:rsidR="00AD50FA" w:rsidRPr="00F2276A" w:rsidRDefault="00AD50FA" w:rsidP="00AD50FA">
      <w:pPr>
        <w:jc w:val="both"/>
        <w:rPr>
          <w:rFonts w:ascii="Times New Roman" w:hAnsi="Times New Roman"/>
          <w:spacing w:val="-3"/>
          <w:sz w:val="22"/>
          <w:szCs w:val="22"/>
        </w:rPr>
      </w:pPr>
      <w:r w:rsidRPr="00F2276A">
        <w:rPr>
          <w:rFonts w:ascii="Times New Roman" w:hAnsi="Times New Roman"/>
          <w:b/>
          <w:sz w:val="22"/>
          <w:szCs w:val="22"/>
        </w:rPr>
        <w:t xml:space="preserve">Valuation of Remaining Tax Credits. </w:t>
      </w:r>
      <w:r w:rsidRPr="00F2276A">
        <w:rPr>
          <w:rFonts w:ascii="Times New Roman" w:hAnsi="Times New Roman"/>
          <w:spacing w:val="-3"/>
          <w:sz w:val="22"/>
          <w:szCs w:val="22"/>
        </w:rPr>
        <w:t xml:space="preserve">If the Property has unused Tax Credits that would survive any foreclosure sale and re-sale of the Property, the Clients will engage either the Appraiser or another third-party to value such remaining Tax Credits.  </w:t>
      </w:r>
    </w:p>
    <w:p w:rsidR="00AD50FA" w:rsidRPr="00F2276A" w:rsidRDefault="00AD50FA" w:rsidP="00AD50FA">
      <w:pPr>
        <w:jc w:val="both"/>
        <w:rPr>
          <w:rFonts w:ascii="Times New Roman" w:hAnsi="Times New Roman"/>
          <w:spacing w:val="-3"/>
          <w:sz w:val="22"/>
          <w:szCs w:val="22"/>
        </w:rPr>
      </w:pPr>
    </w:p>
    <w:p w:rsidR="00AD50FA" w:rsidRPr="00F2276A" w:rsidRDefault="00AD50FA" w:rsidP="00AD50FA">
      <w:pPr>
        <w:jc w:val="both"/>
        <w:rPr>
          <w:rFonts w:ascii="Times New Roman" w:hAnsi="Times New Roman"/>
          <w:spacing w:val="-3"/>
          <w:sz w:val="22"/>
          <w:szCs w:val="22"/>
        </w:rPr>
      </w:pPr>
      <w:r w:rsidRPr="00F2276A">
        <w:rPr>
          <w:rFonts w:ascii="Times New Roman" w:hAnsi="Times New Roman"/>
          <w:spacing w:val="-3"/>
          <w:sz w:val="22"/>
          <w:szCs w:val="22"/>
        </w:rPr>
        <w:t>In the</w:t>
      </w:r>
      <w:r w:rsidRPr="00F2276A">
        <w:rPr>
          <w:rFonts w:ascii="Times New Roman" w:hAnsi="Times New Roman"/>
          <w:i/>
          <w:spacing w:val="-3"/>
          <w:sz w:val="22"/>
          <w:szCs w:val="22"/>
        </w:rPr>
        <w:t xml:space="preserve"> valuation of the remaining Tax Credits</w:t>
      </w:r>
      <w:r w:rsidRPr="00F2276A">
        <w:rPr>
          <w:rFonts w:ascii="Times New Roman" w:hAnsi="Times New Roman"/>
          <w:spacing w:val="-3"/>
          <w:sz w:val="22"/>
          <w:szCs w:val="22"/>
        </w:rPr>
        <w:t xml:space="preserve">, the following requirements </w:t>
      </w:r>
      <w:r>
        <w:rPr>
          <w:rFonts w:ascii="Times New Roman" w:hAnsi="Times New Roman"/>
          <w:spacing w:val="-3"/>
          <w:sz w:val="22"/>
          <w:szCs w:val="22"/>
        </w:rPr>
        <w:t>will</w:t>
      </w:r>
      <w:r w:rsidRPr="00F2276A">
        <w:rPr>
          <w:rFonts w:ascii="Times New Roman" w:hAnsi="Times New Roman"/>
          <w:spacing w:val="-3"/>
          <w:sz w:val="22"/>
          <w:szCs w:val="22"/>
        </w:rPr>
        <w:t xml:space="preserve"> also apply:</w:t>
      </w:r>
    </w:p>
    <w:p w:rsidR="00AD50FA" w:rsidRPr="00F2276A" w:rsidRDefault="00AD50FA" w:rsidP="00AD50FA">
      <w:pPr>
        <w:widowControl/>
        <w:jc w:val="both"/>
        <w:rPr>
          <w:rFonts w:ascii="Times New Roman" w:hAnsi="Times New Roman"/>
          <w:b/>
          <w:spacing w:val="-3"/>
          <w:sz w:val="22"/>
          <w:szCs w:val="22"/>
        </w:rPr>
      </w:pPr>
    </w:p>
    <w:p w:rsidR="00AD50FA" w:rsidRPr="00F2276A" w:rsidRDefault="00AD50FA" w:rsidP="00AD50FA">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18.</w:t>
      </w:r>
      <w:r w:rsidRPr="00F2276A">
        <w:rPr>
          <w:rFonts w:ascii="Times New Roman" w:hAnsi="Times New Roman"/>
          <w:sz w:val="22"/>
          <w:szCs w:val="22"/>
        </w:rPr>
        <w:tab/>
      </w:r>
      <w:r w:rsidRPr="00F2276A">
        <w:rPr>
          <w:rFonts w:ascii="Times New Roman" w:hAnsi="Times New Roman"/>
          <w:sz w:val="22"/>
          <w:szCs w:val="22"/>
          <w:u w:val="single"/>
        </w:rPr>
        <w:t>IRC Section 42.</w:t>
      </w:r>
      <w:r w:rsidRPr="00F2276A">
        <w:rPr>
          <w:rFonts w:ascii="Times New Roman" w:hAnsi="Times New Roman"/>
          <w:sz w:val="22"/>
          <w:szCs w:val="22"/>
        </w:rPr>
        <w:t xml:space="preserve"> The Appraiser or third-party valuator shall inspect the complete first-year tenant files to determine compliance with the requirements of Section 42 of the Internal Revenue Code.</w:t>
      </w:r>
    </w:p>
    <w:p w:rsidR="00AD50FA" w:rsidRPr="00F2276A" w:rsidRDefault="00AD50FA" w:rsidP="00AD50FA">
      <w:pPr>
        <w:autoSpaceDE w:val="0"/>
        <w:autoSpaceDN w:val="0"/>
        <w:adjustRightInd w:val="0"/>
        <w:ind w:left="720" w:hanging="720"/>
        <w:jc w:val="both"/>
        <w:rPr>
          <w:rFonts w:ascii="Times New Roman" w:hAnsi="Times New Roman"/>
          <w:sz w:val="22"/>
          <w:szCs w:val="22"/>
        </w:rPr>
      </w:pPr>
    </w:p>
    <w:p w:rsidR="00AD50FA" w:rsidRPr="00F2276A" w:rsidRDefault="00AD50FA" w:rsidP="00AD50FA">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19.</w:t>
      </w:r>
      <w:r w:rsidRPr="00F2276A">
        <w:rPr>
          <w:rFonts w:ascii="Times New Roman" w:hAnsi="Times New Roman"/>
          <w:sz w:val="22"/>
          <w:szCs w:val="22"/>
        </w:rPr>
        <w:tab/>
      </w:r>
      <w:r w:rsidRPr="00F2276A">
        <w:rPr>
          <w:rFonts w:ascii="Times New Roman" w:hAnsi="Times New Roman"/>
          <w:sz w:val="22"/>
          <w:szCs w:val="22"/>
          <w:u w:val="single"/>
        </w:rPr>
        <w:t>IRS Form 8609</w:t>
      </w:r>
      <w:r w:rsidRPr="00F2276A">
        <w:rPr>
          <w:rFonts w:ascii="Times New Roman" w:hAnsi="Times New Roman"/>
          <w:sz w:val="22"/>
          <w:szCs w:val="22"/>
        </w:rPr>
        <w:t xml:space="preserve">. The Appraiser or third-party valuator should contact the state or local housing agency that granted the Tax Credit allocation to the Property in order to confirm the gross dollar amounts of any remaining Tax Credits from the </w:t>
      </w:r>
      <w:r w:rsidRPr="00F2276A">
        <w:rPr>
          <w:rFonts w:ascii="Times New Roman" w:hAnsi="Times New Roman"/>
          <w:i/>
          <w:sz w:val="22"/>
          <w:szCs w:val="22"/>
        </w:rPr>
        <w:t>Form 8609 Low-Income Housing Credit Allocation and Certification.</w:t>
      </w:r>
      <w:r w:rsidRPr="00F2276A">
        <w:rPr>
          <w:rFonts w:ascii="Times New Roman" w:hAnsi="Times New Roman"/>
          <w:sz w:val="22"/>
          <w:szCs w:val="22"/>
        </w:rPr>
        <w:t xml:space="preserve"> </w:t>
      </w:r>
    </w:p>
    <w:p w:rsidR="00AD50FA" w:rsidRPr="00F2276A" w:rsidRDefault="00AD50FA" w:rsidP="00AD50FA">
      <w:pPr>
        <w:autoSpaceDE w:val="0"/>
        <w:autoSpaceDN w:val="0"/>
        <w:adjustRightInd w:val="0"/>
        <w:jc w:val="both"/>
        <w:rPr>
          <w:rFonts w:ascii="Times New Roman" w:hAnsi="Times New Roman"/>
          <w:sz w:val="22"/>
          <w:szCs w:val="22"/>
        </w:rPr>
      </w:pPr>
    </w:p>
    <w:p w:rsidR="00AD50FA" w:rsidRPr="00F2276A" w:rsidRDefault="00AD50FA" w:rsidP="00AD50FA">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20.</w:t>
      </w:r>
      <w:r w:rsidRPr="00F2276A">
        <w:rPr>
          <w:rFonts w:ascii="Times New Roman" w:hAnsi="Times New Roman"/>
          <w:sz w:val="22"/>
          <w:szCs w:val="22"/>
        </w:rPr>
        <w:tab/>
      </w:r>
      <w:r w:rsidRPr="00F2276A">
        <w:rPr>
          <w:rFonts w:ascii="Times New Roman" w:hAnsi="Times New Roman"/>
          <w:sz w:val="22"/>
          <w:szCs w:val="22"/>
          <w:u w:val="single"/>
        </w:rPr>
        <w:t>IRS Form 8823</w:t>
      </w:r>
      <w:r w:rsidRPr="00F2276A">
        <w:rPr>
          <w:rFonts w:ascii="Times New Roman" w:hAnsi="Times New Roman"/>
          <w:sz w:val="22"/>
          <w:szCs w:val="22"/>
        </w:rPr>
        <w:t xml:space="preserve">. The Appraiser or third-party valuator should contact the state or local housing agency that granted the Tax Credit allocation to the Property in order to confirm any issuance of </w:t>
      </w:r>
      <w:r w:rsidRPr="00F2276A">
        <w:rPr>
          <w:rFonts w:ascii="Times New Roman" w:hAnsi="Times New Roman"/>
          <w:i/>
          <w:sz w:val="22"/>
          <w:szCs w:val="22"/>
        </w:rPr>
        <w:t>Form 8823 Low-Income Housing Credit Agencies Report of Non-Compliance or Building Disposition</w:t>
      </w:r>
      <w:r w:rsidRPr="00F2276A">
        <w:rPr>
          <w:rFonts w:ascii="Times New Roman" w:hAnsi="Times New Roman"/>
          <w:sz w:val="22"/>
          <w:szCs w:val="22"/>
        </w:rPr>
        <w:t>. If any issuance of Form 8823 was made, the Appraiser or third-party valuator should compute and consider the cost of correcting the violations.</w:t>
      </w:r>
    </w:p>
    <w:p w:rsidR="00AD50FA" w:rsidRPr="00F2276A" w:rsidRDefault="00AD50FA" w:rsidP="00AD50FA">
      <w:pPr>
        <w:autoSpaceDE w:val="0"/>
        <w:autoSpaceDN w:val="0"/>
        <w:adjustRightInd w:val="0"/>
        <w:jc w:val="both"/>
        <w:rPr>
          <w:rFonts w:ascii="Times New Roman" w:hAnsi="Times New Roman"/>
          <w:sz w:val="22"/>
          <w:szCs w:val="22"/>
        </w:rPr>
      </w:pPr>
    </w:p>
    <w:p w:rsidR="00AD50FA" w:rsidRPr="00F2276A" w:rsidRDefault="00AD50FA" w:rsidP="00AD50FA">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21.</w:t>
      </w:r>
      <w:r w:rsidRPr="00F2276A">
        <w:rPr>
          <w:rFonts w:ascii="Times New Roman" w:hAnsi="Times New Roman"/>
          <w:sz w:val="22"/>
          <w:szCs w:val="22"/>
        </w:rPr>
        <w:tab/>
      </w:r>
      <w:r w:rsidRPr="00F2276A">
        <w:rPr>
          <w:rFonts w:ascii="Times New Roman" w:hAnsi="Times New Roman"/>
          <w:sz w:val="22"/>
          <w:szCs w:val="22"/>
          <w:u w:val="single"/>
        </w:rPr>
        <w:t>Tax Credit Incremental Value</w:t>
      </w:r>
      <w:r w:rsidRPr="00F2276A">
        <w:rPr>
          <w:rFonts w:ascii="Times New Roman" w:hAnsi="Times New Roman"/>
          <w:sz w:val="22"/>
          <w:szCs w:val="22"/>
        </w:rPr>
        <w:t xml:space="preserve">. The Appraiser or third-party valuator should consider the current secondary market for Tax Credits and consider what incremental value, if any, would be added to the price of the Property by virtue of the Tax Credits remaining.  </w:t>
      </w:r>
    </w:p>
    <w:p w:rsidR="00AD50FA" w:rsidRPr="00F2276A" w:rsidRDefault="00AD50FA" w:rsidP="00AD50FA">
      <w:pPr>
        <w:autoSpaceDE w:val="0"/>
        <w:autoSpaceDN w:val="0"/>
        <w:adjustRightInd w:val="0"/>
        <w:jc w:val="both"/>
        <w:rPr>
          <w:rFonts w:ascii="Times New Roman" w:hAnsi="Times New Roman"/>
          <w:sz w:val="22"/>
          <w:szCs w:val="22"/>
        </w:rPr>
      </w:pPr>
    </w:p>
    <w:p w:rsidR="00A8785C" w:rsidRPr="00AF4591" w:rsidRDefault="00AD50FA" w:rsidP="00A8785C">
      <w:pPr>
        <w:autoSpaceDE w:val="0"/>
        <w:autoSpaceDN w:val="0"/>
        <w:adjustRightInd w:val="0"/>
        <w:ind w:left="720" w:hanging="720"/>
        <w:jc w:val="both"/>
        <w:rPr>
          <w:rFonts w:ascii="Times New Roman" w:hAnsi="Times New Roman"/>
          <w:spacing w:val="-3"/>
          <w:szCs w:val="24"/>
          <w:u w:val="single"/>
        </w:rPr>
      </w:pPr>
      <w:r w:rsidRPr="00F2276A">
        <w:rPr>
          <w:rFonts w:ascii="Times New Roman" w:hAnsi="Times New Roman"/>
          <w:sz w:val="22"/>
          <w:szCs w:val="22"/>
        </w:rPr>
        <w:t>22.</w:t>
      </w:r>
      <w:r w:rsidRPr="00F2276A">
        <w:rPr>
          <w:rFonts w:ascii="Times New Roman" w:hAnsi="Times New Roman"/>
          <w:sz w:val="22"/>
          <w:szCs w:val="22"/>
        </w:rPr>
        <w:tab/>
      </w:r>
      <w:r w:rsidRPr="00F2276A">
        <w:rPr>
          <w:rFonts w:ascii="Times New Roman" w:hAnsi="Times New Roman"/>
          <w:sz w:val="22"/>
          <w:szCs w:val="22"/>
          <w:u w:val="single"/>
        </w:rPr>
        <w:t>Net Proceeds</w:t>
      </w:r>
      <w:r w:rsidRPr="00F2276A">
        <w:rPr>
          <w:rFonts w:ascii="Times New Roman" w:hAnsi="Times New Roman"/>
          <w:sz w:val="22"/>
          <w:szCs w:val="22"/>
        </w:rPr>
        <w:t>. The Appraiser or third-party valuator shall determine the net proceeds that could result from a re-syndication or resale of the Property.  Because there is not a generally accepted single “industry standard” methodology for making such a determination, the Appraiser or third-party valuator shall provide a discussion of the methodology, models, and assumptions utilized in reaching the determination.</w:t>
      </w:r>
    </w:p>
    <w:p w:rsidR="00353F25" w:rsidRDefault="00353F25" w:rsidP="00353F25">
      <w:pPr>
        <w:tabs>
          <w:tab w:val="left" w:pos="-720"/>
        </w:tabs>
        <w:suppressAutoHyphens/>
        <w:jc w:val="both"/>
        <w:rPr>
          <w:rFonts w:ascii="Times New Roman" w:hAnsi="Times New Roman"/>
          <w:spacing w:val="-3"/>
          <w:szCs w:val="24"/>
        </w:rPr>
      </w:pPr>
    </w:p>
    <w:p w:rsidR="00353F25" w:rsidRDefault="00353F25" w:rsidP="00353F25">
      <w:pPr>
        <w:tabs>
          <w:tab w:val="left" w:pos="-720"/>
        </w:tabs>
        <w:suppressAutoHyphens/>
        <w:jc w:val="both"/>
        <w:rPr>
          <w:rFonts w:ascii="Times New Roman" w:hAnsi="Times New Roman"/>
          <w:spacing w:val="-3"/>
          <w:szCs w:val="24"/>
        </w:rPr>
      </w:pPr>
    </w:p>
    <w:p w:rsidR="0057013D" w:rsidRDefault="0057013D" w:rsidP="006B49CF">
      <w:pPr>
        <w:tabs>
          <w:tab w:val="left" w:pos="-720"/>
        </w:tabs>
        <w:suppressAutoHyphens/>
        <w:rPr>
          <w:rFonts w:ascii="Times New Roman" w:hAnsi="Times New Roman"/>
        </w:rPr>
      </w:pPr>
    </w:p>
    <w:p w:rsidR="0057013D" w:rsidRDefault="0057013D" w:rsidP="006B49CF">
      <w:pPr>
        <w:tabs>
          <w:tab w:val="left" w:pos="-720"/>
        </w:tabs>
        <w:suppressAutoHyphens/>
        <w:rPr>
          <w:rFonts w:ascii="Times New Roman" w:hAnsi="Times New Roman"/>
        </w:rPr>
      </w:pPr>
    </w:p>
    <w:p w:rsidR="0057013D" w:rsidRPr="00AF4591" w:rsidRDefault="0057013D" w:rsidP="006B49CF">
      <w:pPr>
        <w:tabs>
          <w:tab w:val="left" w:pos="-720"/>
        </w:tabs>
        <w:suppressAutoHyphens/>
        <w:rPr>
          <w:rFonts w:ascii="Times New Roman" w:hAnsi="Times New Roman"/>
          <w:szCs w:val="24"/>
        </w:rPr>
      </w:pPr>
    </w:p>
    <w:sectPr w:rsidR="0057013D" w:rsidRPr="00AF4591" w:rsidSect="00EA36B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152"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8BF" w:rsidRDefault="00B208BF">
      <w:pPr>
        <w:spacing w:line="20" w:lineRule="exact"/>
      </w:pPr>
    </w:p>
  </w:endnote>
  <w:endnote w:type="continuationSeparator" w:id="0">
    <w:p w:rsidR="00B208BF" w:rsidRDefault="00B208BF">
      <w:r>
        <w:t xml:space="preserve"> </w:t>
      </w:r>
    </w:p>
  </w:endnote>
  <w:endnote w:type="continuationNotice" w:id="1">
    <w:p w:rsidR="00B208BF" w:rsidRDefault="00B208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C3" w:rsidRDefault="00046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E3" w:rsidRPr="009076E3" w:rsidRDefault="009076E3">
    <w:pPr>
      <w:rPr>
        <w:rFonts w:ascii="Times New Roman" w:hAnsi="Times New Roman"/>
      </w:rPr>
    </w:pPr>
  </w:p>
  <w:tbl>
    <w:tblPr>
      <w:tblW w:w="9600" w:type="dxa"/>
      <w:tblLook w:val="01E0" w:firstRow="1" w:lastRow="1" w:firstColumn="1" w:lastColumn="1" w:noHBand="0" w:noVBand="0"/>
    </w:tblPr>
    <w:tblGrid>
      <w:gridCol w:w="3888"/>
      <w:gridCol w:w="2520"/>
      <w:gridCol w:w="3192"/>
    </w:tblGrid>
    <w:tr w:rsidR="009076E3" w:rsidRPr="009076E3" w:rsidTr="00F75CAD">
      <w:tc>
        <w:tcPr>
          <w:tcW w:w="3888" w:type="dxa"/>
          <w:shd w:val="clear" w:color="auto" w:fill="auto"/>
        </w:tcPr>
        <w:p w:rsidR="009076E3" w:rsidRPr="009076E3" w:rsidRDefault="009076E3" w:rsidP="00F75CAD">
          <w:pPr>
            <w:pStyle w:val="Footer"/>
            <w:rPr>
              <w:rFonts w:ascii="Times New Roman" w:hAnsi="Times New Roman"/>
              <w:b/>
              <w:sz w:val="20"/>
            </w:rPr>
          </w:pPr>
          <w:r w:rsidRPr="009076E3">
            <w:rPr>
              <w:rFonts w:ascii="Times New Roman" w:hAnsi="Times New Roman"/>
              <w:b/>
              <w:sz w:val="20"/>
            </w:rPr>
            <w:t>Appraiser Engagement Instructions(Lender Retention)</w:t>
          </w:r>
        </w:p>
      </w:tc>
      <w:tc>
        <w:tcPr>
          <w:tcW w:w="2520" w:type="dxa"/>
          <w:shd w:val="clear" w:color="auto" w:fill="auto"/>
          <w:vAlign w:val="bottom"/>
        </w:tcPr>
        <w:p w:rsidR="009076E3" w:rsidRPr="009076E3" w:rsidRDefault="009076E3" w:rsidP="00F75CAD">
          <w:pPr>
            <w:pStyle w:val="Footer"/>
            <w:jc w:val="center"/>
            <w:rPr>
              <w:rFonts w:ascii="Times New Roman" w:hAnsi="Times New Roman"/>
              <w:b/>
              <w:sz w:val="20"/>
            </w:rPr>
          </w:pPr>
          <w:r w:rsidRPr="009076E3">
            <w:rPr>
              <w:rFonts w:ascii="Times New Roman" w:hAnsi="Times New Roman"/>
              <w:b/>
              <w:sz w:val="20"/>
            </w:rPr>
            <w:t>Form 4825</w:t>
          </w:r>
        </w:p>
      </w:tc>
      <w:tc>
        <w:tcPr>
          <w:tcW w:w="3192" w:type="dxa"/>
          <w:shd w:val="clear" w:color="auto" w:fill="auto"/>
          <w:vAlign w:val="bottom"/>
        </w:tcPr>
        <w:p w:rsidR="009076E3" w:rsidRPr="009076E3" w:rsidRDefault="009076E3" w:rsidP="00F75CAD">
          <w:pPr>
            <w:pStyle w:val="Footer"/>
            <w:jc w:val="right"/>
            <w:rPr>
              <w:rFonts w:ascii="Times New Roman" w:hAnsi="Times New Roman"/>
              <w:b/>
              <w:sz w:val="20"/>
            </w:rPr>
          </w:pPr>
          <w:r w:rsidRPr="009076E3">
            <w:rPr>
              <w:rFonts w:ascii="Times New Roman" w:hAnsi="Times New Roman"/>
              <w:b/>
              <w:sz w:val="20"/>
            </w:rPr>
            <w:t xml:space="preserve">Page </w:t>
          </w:r>
          <w:r w:rsidR="009B44E8" w:rsidRPr="009076E3">
            <w:rPr>
              <w:rStyle w:val="PageNumber"/>
              <w:rFonts w:ascii="Times New Roman" w:hAnsi="Times New Roman"/>
              <w:b/>
              <w:sz w:val="20"/>
            </w:rPr>
            <w:fldChar w:fldCharType="begin"/>
          </w:r>
          <w:r w:rsidRPr="009076E3">
            <w:rPr>
              <w:rStyle w:val="PageNumber"/>
              <w:rFonts w:ascii="Times New Roman" w:hAnsi="Times New Roman"/>
              <w:b/>
              <w:sz w:val="20"/>
            </w:rPr>
            <w:instrText xml:space="preserve"> PAGE </w:instrText>
          </w:r>
          <w:r w:rsidR="009B44E8" w:rsidRPr="009076E3">
            <w:rPr>
              <w:rStyle w:val="PageNumber"/>
              <w:rFonts w:ascii="Times New Roman" w:hAnsi="Times New Roman"/>
              <w:b/>
              <w:sz w:val="20"/>
            </w:rPr>
            <w:fldChar w:fldCharType="separate"/>
          </w:r>
          <w:r w:rsidR="000464C3">
            <w:rPr>
              <w:rStyle w:val="PageNumber"/>
              <w:rFonts w:ascii="Times New Roman" w:hAnsi="Times New Roman"/>
              <w:b/>
              <w:noProof/>
              <w:sz w:val="20"/>
            </w:rPr>
            <w:t>1</w:t>
          </w:r>
          <w:r w:rsidR="009B44E8" w:rsidRPr="009076E3">
            <w:rPr>
              <w:rStyle w:val="PageNumber"/>
              <w:rFonts w:ascii="Times New Roman" w:hAnsi="Times New Roman"/>
              <w:b/>
              <w:sz w:val="20"/>
            </w:rPr>
            <w:fldChar w:fldCharType="end"/>
          </w:r>
        </w:p>
      </w:tc>
    </w:tr>
    <w:tr w:rsidR="009076E3" w:rsidRPr="009076E3" w:rsidTr="00F75CAD">
      <w:tc>
        <w:tcPr>
          <w:tcW w:w="3888" w:type="dxa"/>
          <w:shd w:val="clear" w:color="auto" w:fill="auto"/>
        </w:tcPr>
        <w:p w:rsidR="009076E3" w:rsidRPr="009076E3" w:rsidRDefault="009076E3" w:rsidP="00F75CAD">
          <w:pPr>
            <w:pStyle w:val="Footer"/>
            <w:rPr>
              <w:rFonts w:ascii="Times New Roman" w:hAnsi="Times New Roman"/>
              <w:b/>
              <w:sz w:val="20"/>
            </w:rPr>
          </w:pPr>
          <w:r w:rsidRPr="009076E3">
            <w:rPr>
              <w:rFonts w:ascii="Times New Roman" w:hAnsi="Times New Roman"/>
              <w:b/>
              <w:sz w:val="20"/>
            </w:rPr>
            <w:t>Fannie Mae</w:t>
          </w:r>
        </w:p>
      </w:tc>
      <w:tc>
        <w:tcPr>
          <w:tcW w:w="2520" w:type="dxa"/>
          <w:shd w:val="clear" w:color="auto" w:fill="auto"/>
        </w:tcPr>
        <w:p w:rsidR="009076E3" w:rsidRPr="009076E3" w:rsidRDefault="00742E71" w:rsidP="00DB37C5">
          <w:pPr>
            <w:pStyle w:val="Footer"/>
            <w:jc w:val="center"/>
            <w:rPr>
              <w:rFonts w:ascii="Times New Roman" w:hAnsi="Times New Roman"/>
              <w:b/>
              <w:sz w:val="20"/>
            </w:rPr>
          </w:pPr>
          <w:r>
            <w:rPr>
              <w:rFonts w:ascii="Times New Roman" w:hAnsi="Times New Roman"/>
              <w:b/>
              <w:sz w:val="20"/>
            </w:rPr>
            <w:t>10</w:t>
          </w:r>
          <w:r w:rsidR="00AD50FA">
            <w:rPr>
              <w:rFonts w:ascii="Times New Roman" w:hAnsi="Times New Roman"/>
              <w:b/>
              <w:sz w:val="20"/>
            </w:rPr>
            <w:t>/15</w:t>
          </w:r>
        </w:p>
      </w:tc>
      <w:tc>
        <w:tcPr>
          <w:tcW w:w="3192" w:type="dxa"/>
          <w:shd w:val="clear" w:color="auto" w:fill="auto"/>
        </w:tcPr>
        <w:p w:rsidR="009076E3" w:rsidRPr="009076E3" w:rsidRDefault="009076E3" w:rsidP="00A51A7A">
          <w:pPr>
            <w:pStyle w:val="Footer"/>
            <w:jc w:val="right"/>
            <w:rPr>
              <w:rFonts w:ascii="Times New Roman" w:hAnsi="Times New Roman"/>
              <w:b/>
              <w:sz w:val="20"/>
            </w:rPr>
          </w:pPr>
          <w:r w:rsidRPr="009076E3">
            <w:rPr>
              <w:rFonts w:ascii="Times New Roman" w:hAnsi="Times New Roman"/>
              <w:b/>
              <w:sz w:val="20"/>
            </w:rPr>
            <w:t>© 201</w:t>
          </w:r>
          <w:r w:rsidR="00AD50FA">
            <w:rPr>
              <w:rFonts w:ascii="Times New Roman" w:hAnsi="Times New Roman"/>
              <w:b/>
              <w:sz w:val="20"/>
            </w:rPr>
            <w:t>5</w:t>
          </w:r>
          <w:r w:rsidRPr="009076E3">
            <w:rPr>
              <w:rFonts w:ascii="Times New Roman" w:hAnsi="Times New Roman"/>
              <w:b/>
              <w:sz w:val="20"/>
            </w:rPr>
            <w:t xml:space="preserve"> Fannie Mae</w:t>
          </w:r>
        </w:p>
      </w:tc>
    </w:tr>
  </w:tbl>
  <w:p w:rsidR="009076E3" w:rsidRPr="009076E3" w:rsidRDefault="009076E3">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E3" w:rsidRPr="00EA36BB" w:rsidRDefault="009076E3" w:rsidP="00EA36BB">
    <w:pPr>
      <w:pStyle w:val="Footer"/>
      <w:rPr>
        <w:rFonts w:ascii="Times New Roman" w:hAnsi="Times New Roman"/>
      </w:rPr>
    </w:pPr>
    <w:r>
      <w:rPr>
        <w:rFonts w:ascii="Times New Roman" w:hAnsi="Times New Roman"/>
        <w:u w:val="single"/>
      </w:rPr>
      <w:t>APPRAISAL ENGAGEMENT INSTRUCTIONS</w:t>
    </w:r>
    <w:r>
      <w:rPr>
        <w:rFonts w:ascii="Times New Roman" w:hAnsi="Times New Roman"/>
      </w:rPr>
      <w:t xml:space="preserve"> – Page</w:t>
    </w:r>
    <w:r w:rsidRPr="00EA36BB">
      <w:rPr>
        <w:rFonts w:ascii="Times New Roman" w:hAnsi="Times New Roman"/>
      </w:rPr>
      <w:t xml:space="preserve"> </w:t>
    </w:r>
    <w:r w:rsidR="009B44E8" w:rsidRPr="00EA36BB">
      <w:rPr>
        <w:rStyle w:val="PageNumber"/>
        <w:rFonts w:ascii="Times New Roman" w:hAnsi="Times New Roman"/>
      </w:rPr>
      <w:fldChar w:fldCharType="begin"/>
    </w:r>
    <w:r w:rsidRPr="00EA36BB">
      <w:rPr>
        <w:rStyle w:val="PageNumber"/>
        <w:rFonts w:ascii="Times New Roman" w:hAnsi="Times New Roman"/>
      </w:rPr>
      <w:instrText xml:space="preserve"> PAGE </w:instrText>
    </w:r>
    <w:r w:rsidR="009B44E8" w:rsidRPr="00EA36BB">
      <w:rPr>
        <w:rStyle w:val="PageNumber"/>
        <w:rFonts w:ascii="Times New Roman" w:hAnsi="Times New Roman"/>
      </w:rPr>
      <w:fldChar w:fldCharType="separate"/>
    </w:r>
    <w:r>
      <w:rPr>
        <w:rStyle w:val="PageNumber"/>
        <w:rFonts w:ascii="Times New Roman" w:hAnsi="Times New Roman"/>
        <w:noProof/>
      </w:rPr>
      <w:t>1</w:t>
    </w:r>
    <w:r w:rsidR="009B44E8" w:rsidRPr="00EA36BB">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8BF" w:rsidRDefault="00B208BF">
      <w:r>
        <w:separator/>
      </w:r>
    </w:p>
  </w:footnote>
  <w:footnote w:type="continuationSeparator" w:id="0">
    <w:p w:rsidR="00B208BF" w:rsidRDefault="00B20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C3" w:rsidRDefault="00046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C3" w:rsidRDefault="00046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C3" w:rsidRDefault="0004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5535"/>
    <w:multiLevelType w:val="singleLevel"/>
    <w:tmpl w:val="1A32662E"/>
    <w:lvl w:ilvl="0">
      <w:start w:val="6"/>
      <w:numFmt w:val="decimal"/>
      <w:lvlText w:val="%1."/>
      <w:legacy w:legacy="1" w:legacySpace="0" w:legacyIndent="720"/>
      <w:lvlJc w:val="left"/>
      <w:pPr>
        <w:ind w:left="1440" w:hanging="720"/>
      </w:pPr>
    </w:lvl>
  </w:abstractNum>
  <w:abstractNum w:abstractNumId="1" w15:restartNumberingAfterBreak="0">
    <w:nsid w:val="27151354"/>
    <w:multiLevelType w:val="singleLevel"/>
    <w:tmpl w:val="3F9EE7D4"/>
    <w:lvl w:ilvl="0">
      <w:start w:val="3"/>
      <w:numFmt w:val="decimal"/>
      <w:lvlText w:val="%1."/>
      <w:legacy w:legacy="1" w:legacySpace="0" w:legacyIndent="720"/>
      <w:lvlJc w:val="left"/>
      <w:pPr>
        <w:ind w:left="1440" w:hanging="720"/>
      </w:pPr>
    </w:lvl>
  </w:abstractNum>
  <w:abstractNum w:abstractNumId="2" w15:restartNumberingAfterBreak="0">
    <w:nsid w:val="280D2962"/>
    <w:multiLevelType w:val="hybridMultilevel"/>
    <w:tmpl w:val="A318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154F8"/>
    <w:multiLevelType w:val="singleLevel"/>
    <w:tmpl w:val="EB024E84"/>
    <w:lvl w:ilvl="0">
      <w:start w:val="4"/>
      <w:numFmt w:val="decimal"/>
      <w:lvlText w:val="%1."/>
      <w:legacy w:legacy="1" w:legacySpace="0" w:legacyIndent="720"/>
      <w:lvlJc w:val="left"/>
      <w:pPr>
        <w:ind w:left="1440" w:hanging="720"/>
      </w:pPr>
    </w:lvl>
  </w:abstractNum>
  <w:abstractNum w:abstractNumId="4" w15:restartNumberingAfterBreak="0">
    <w:nsid w:val="401A6963"/>
    <w:multiLevelType w:val="singleLevel"/>
    <w:tmpl w:val="AD10E74E"/>
    <w:lvl w:ilvl="0">
      <w:start w:val="2"/>
      <w:numFmt w:val="decimal"/>
      <w:lvlText w:val="%1."/>
      <w:legacy w:legacy="1" w:legacySpace="0" w:legacyIndent="720"/>
      <w:lvlJc w:val="left"/>
      <w:pPr>
        <w:ind w:left="1440" w:hanging="720"/>
      </w:pPr>
    </w:lvl>
  </w:abstractNum>
  <w:abstractNum w:abstractNumId="5" w15:restartNumberingAfterBreak="0">
    <w:nsid w:val="43C5301E"/>
    <w:multiLevelType w:val="hybridMultilevel"/>
    <w:tmpl w:val="5128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A336C"/>
    <w:multiLevelType w:val="singleLevel"/>
    <w:tmpl w:val="D6BEB040"/>
    <w:lvl w:ilvl="0">
      <w:start w:val="5"/>
      <w:numFmt w:val="decimal"/>
      <w:lvlText w:val="%1."/>
      <w:legacy w:legacy="1" w:legacySpace="0" w:legacyIndent="720"/>
      <w:lvlJc w:val="left"/>
      <w:pPr>
        <w:ind w:left="1440" w:hanging="720"/>
      </w:pPr>
    </w:lvl>
  </w:abstractNum>
  <w:abstractNum w:abstractNumId="7" w15:restartNumberingAfterBreak="0">
    <w:nsid w:val="5CAD2267"/>
    <w:multiLevelType w:val="singleLevel"/>
    <w:tmpl w:val="21227DAA"/>
    <w:lvl w:ilvl="0">
      <w:start w:val="1"/>
      <w:numFmt w:val="decimal"/>
      <w:lvlText w:val="%1."/>
      <w:legacy w:legacy="1" w:legacySpace="0" w:legacyIndent="720"/>
      <w:lvlJc w:val="left"/>
      <w:pPr>
        <w:ind w:left="1440" w:hanging="720"/>
      </w:pPr>
    </w:lvl>
  </w:abstractNum>
  <w:abstractNum w:abstractNumId="8" w15:restartNumberingAfterBreak="0">
    <w:nsid w:val="5DEB4968"/>
    <w:multiLevelType w:val="hybridMultilevel"/>
    <w:tmpl w:val="9C8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B6E5B"/>
    <w:multiLevelType w:val="hybridMultilevel"/>
    <w:tmpl w:val="91AE4FEA"/>
    <w:lvl w:ilvl="0" w:tplc="4D7E6D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C886EDD"/>
    <w:multiLevelType w:val="hybridMultilevel"/>
    <w:tmpl w:val="EE12CDB8"/>
    <w:lvl w:ilvl="0" w:tplc="0876D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E1643F"/>
    <w:multiLevelType w:val="hybridMultilevel"/>
    <w:tmpl w:val="921A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
  </w:num>
  <w:num w:numId="4">
    <w:abstractNumId w:val="3"/>
  </w:num>
  <w:num w:numId="5">
    <w:abstractNumId w:val="6"/>
  </w:num>
  <w:num w:numId="6">
    <w:abstractNumId w:val="0"/>
  </w:num>
  <w:num w:numId="7">
    <w:abstractNumId w:val="9"/>
  </w:num>
  <w:num w:numId="8">
    <w:abstractNumId w:val="10"/>
  </w:num>
  <w:num w:numId="9">
    <w:abstractNumId w:val="5"/>
  </w:num>
  <w:num w:numId="10">
    <w:abstractNumId w:val="11"/>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F5"/>
    <w:rsid w:val="000021EB"/>
    <w:rsid w:val="00015094"/>
    <w:rsid w:val="00033A25"/>
    <w:rsid w:val="000464C3"/>
    <w:rsid w:val="0005022D"/>
    <w:rsid w:val="0007159A"/>
    <w:rsid w:val="0008249D"/>
    <w:rsid w:val="000A0531"/>
    <w:rsid w:val="000A7E4B"/>
    <w:rsid w:val="000C47EB"/>
    <w:rsid w:val="000F4B14"/>
    <w:rsid w:val="00123533"/>
    <w:rsid w:val="00131FD7"/>
    <w:rsid w:val="001360BC"/>
    <w:rsid w:val="00143D6B"/>
    <w:rsid w:val="00147BE1"/>
    <w:rsid w:val="001508BD"/>
    <w:rsid w:val="00153B46"/>
    <w:rsid w:val="00165260"/>
    <w:rsid w:val="001A617C"/>
    <w:rsid w:val="00212A3D"/>
    <w:rsid w:val="00226E51"/>
    <w:rsid w:val="00245692"/>
    <w:rsid w:val="0025503C"/>
    <w:rsid w:val="00265CB7"/>
    <w:rsid w:val="0028338A"/>
    <w:rsid w:val="0029709C"/>
    <w:rsid w:val="002A5822"/>
    <w:rsid w:val="002C1F79"/>
    <w:rsid w:val="002F781E"/>
    <w:rsid w:val="003015AB"/>
    <w:rsid w:val="00311FBA"/>
    <w:rsid w:val="0033304B"/>
    <w:rsid w:val="00337E83"/>
    <w:rsid w:val="00353F25"/>
    <w:rsid w:val="00357962"/>
    <w:rsid w:val="00387840"/>
    <w:rsid w:val="003A16F8"/>
    <w:rsid w:val="003B49C1"/>
    <w:rsid w:val="003C020E"/>
    <w:rsid w:val="003C0249"/>
    <w:rsid w:val="003D06F4"/>
    <w:rsid w:val="003D1F90"/>
    <w:rsid w:val="003E0580"/>
    <w:rsid w:val="003E06B5"/>
    <w:rsid w:val="00404C04"/>
    <w:rsid w:val="0040522F"/>
    <w:rsid w:val="00406C87"/>
    <w:rsid w:val="00413095"/>
    <w:rsid w:val="00467B67"/>
    <w:rsid w:val="00495BEC"/>
    <w:rsid w:val="004A4674"/>
    <w:rsid w:val="004C1489"/>
    <w:rsid w:val="005077A6"/>
    <w:rsid w:val="005149F5"/>
    <w:rsid w:val="00520381"/>
    <w:rsid w:val="005516E5"/>
    <w:rsid w:val="005543B2"/>
    <w:rsid w:val="0055491A"/>
    <w:rsid w:val="0057013D"/>
    <w:rsid w:val="00592350"/>
    <w:rsid w:val="00595AB9"/>
    <w:rsid w:val="005A4C3A"/>
    <w:rsid w:val="005A4F38"/>
    <w:rsid w:val="005B2857"/>
    <w:rsid w:val="005B79CB"/>
    <w:rsid w:val="005F0712"/>
    <w:rsid w:val="00607EBF"/>
    <w:rsid w:val="0061261E"/>
    <w:rsid w:val="00614CD6"/>
    <w:rsid w:val="006416B4"/>
    <w:rsid w:val="00651A5B"/>
    <w:rsid w:val="0065542E"/>
    <w:rsid w:val="00655F93"/>
    <w:rsid w:val="00656043"/>
    <w:rsid w:val="00657EFB"/>
    <w:rsid w:val="00662C39"/>
    <w:rsid w:val="0067543C"/>
    <w:rsid w:val="006B49CF"/>
    <w:rsid w:val="006E296E"/>
    <w:rsid w:val="00707A1C"/>
    <w:rsid w:val="00715A6B"/>
    <w:rsid w:val="00740F71"/>
    <w:rsid w:val="00742E71"/>
    <w:rsid w:val="00782A2F"/>
    <w:rsid w:val="007A3341"/>
    <w:rsid w:val="007C7DEB"/>
    <w:rsid w:val="007D2320"/>
    <w:rsid w:val="007F056B"/>
    <w:rsid w:val="008037AC"/>
    <w:rsid w:val="00816461"/>
    <w:rsid w:val="00853D0C"/>
    <w:rsid w:val="00872E48"/>
    <w:rsid w:val="008B5A35"/>
    <w:rsid w:val="008C2927"/>
    <w:rsid w:val="008D1D81"/>
    <w:rsid w:val="008E013C"/>
    <w:rsid w:val="008F4E58"/>
    <w:rsid w:val="00903B16"/>
    <w:rsid w:val="009076E3"/>
    <w:rsid w:val="00930745"/>
    <w:rsid w:val="00936179"/>
    <w:rsid w:val="00960BB0"/>
    <w:rsid w:val="00993F53"/>
    <w:rsid w:val="009A0400"/>
    <w:rsid w:val="009A09FE"/>
    <w:rsid w:val="009B44E8"/>
    <w:rsid w:val="009B612C"/>
    <w:rsid w:val="009D6BB0"/>
    <w:rsid w:val="009F6A52"/>
    <w:rsid w:val="00A02E30"/>
    <w:rsid w:val="00A07A59"/>
    <w:rsid w:val="00A119B1"/>
    <w:rsid w:val="00A202DE"/>
    <w:rsid w:val="00A23502"/>
    <w:rsid w:val="00A32F31"/>
    <w:rsid w:val="00A35C60"/>
    <w:rsid w:val="00A4226E"/>
    <w:rsid w:val="00A51A7A"/>
    <w:rsid w:val="00A8785C"/>
    <w:rsid w:val="00AB37B4"/>
    <w:rsid w:val="00AC2F39"/>
    <w:rsid w:val="00AD0711"/>
    <w:rsid w:val="00AD50FA"/>
    <w:rsid w:val="00AF4591"/>
    <w:rsid w:val="00AF50FB"/>
    <w:rsid w:val="00B06E44"/>
    <w:rsid w:val="00B208BF"/>
    <w:rsid w:val="00B7032B"/>
    <w:rsid w:val="00B96677"/>
    <w:rsid w:val="00BF3A6E"/>
    <w:rsid w:val="00C56BB6"/>
    <w:rsid w:val="00C83E76"/>
    <w:rsid w:val="00C95315"/>
    <w:rsid w:val="00CD6885"/>
    <w:rsid w:val="00CF71EB"/>
    <w:rsid w:val="00D63B65"/>
    <w:rsid w:val="00DA53B8"/>
    <w:rsid w:val="00DB37C5"/>
    <w:rsid w:val="00DC1447"/>
    <w:rsid w:val="00DC4E05"/>
    <w:rsid w:val="00DE4B51"/>
    <w:rsid w:val="00E14DC9"/>
    <w:rsid w:val="00E46148"/>
    <w:rsid w:val="00E62161"/>
    <w:rsid w:val="00EA36BB"/>
    <w:rsid w:val="00EB6297"/>
    <w:rsid w:val="00EC0BF9"/>
    <w:rsid w:val="00EC5CAA"/>
    <w:rsid w:val="00EF7B4C"/>
    <w:rsid w:val="00F10ADC"/>
    <w:rsid w:val="00F17F2B"/>
    <w:rsid w:val="00F51326"/>
    <w:rsid w:val="00F75CAD"/>
    <w:rsid w:val="00F84BB4"/>
    <w:rsid w:val="00F87224"/>
    <w:rsid w:val="00FA0622"/>
    <w:rsid w:val="00FA4BF5"/>
    <w:rsid w:val="00FB42ED"/>
    <w:rsid w:val="00FC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FD7"/>
    <w:pPr>
      <w:widowControl w:val="0"/>
    </w:pPr>
    <w:rPr>
      <w:rFonts w:ascii="Courier New" w:hAnsi="Courier New"/>
      <w:sz w:val="24"/>
    </w:rPr>
  </w:style>
  <w:style w:type="paragraph" w:styleId="Heading5">
    <w:name w:val="heading 5"/>
    <w:basedOn w:val="Normal"/>
    <w:next w:val="Normal"/>
    <w:qFormat/>
    <w:rsid w:val="00131FD7"/>
    <w:pPr>
      <w:keepNext/>
      <w:jc w:val="center"/>
      <w:outlineLvl w:val="4"/>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31FD7"/>
  </w:style>
  <w:style w:type="character" w:styleId="EndnoteReference">
    <w:name w:val="endnote reference"/>
    <w:basedOn w:val="DefaultParagraphFont"/>
    <w:semiHidden/>
    <w:rsid w:val="00131FD7"/>
    <w:rPr>
      <w:vertAlign w:val="superscript"/>
    </w:rPr>
  </w:style>
  <w:style w:type="paragraph" w:styleId="FootnoteText">
    <w:name w:val="footnote text"/>
    <w:basedOn w:val="Normal"/>
    <w:semiHidden/>
    <w:rsid w:val="00131FD7"/>
  </w:style>
  <w:style w:type="character" w:styleId="FootnoteReference">
    <w:name w:val="footnote reference"/>
    <w:basedOn w:val="DefaultParagraphFont"/>
    <w:semiHidden/>
    <w:rsid w:val="00131FD7"/>
    <w:rPr>
      <w:vertAlign w:val="superscript"/>
    </w:rPr>
  </w:style>
  <w:style w:type="paragraph" w:styleId="TOC1">
    <w:name w:val="toc 1"/>
    <w:basedOn w:val="Normal"/>
    <w:next w:val="Normal"/>
    <w:semiHidden/>
    <w:rsid w:val="00131FD7"/>
    <w:pPr>
      <w:tabs>
        <w:tab w:val="right" w:leader="dot" w:pos="9360"/>
      </w:tabs>
      <w:suppressAutoHyphens/>
      <w:spacing w:before="480"/>
      <w:ind w:left="720" w:right="720" w:hanging="720"/>
    </w:pPr>
  </w:style>
  <w:style w:type="paragraph" w:styleId="TOC2">
    <w:name w:val="toc 2"/>
    <w:basedOn w:val="Normal"/>
    <w:next w:val="Normal"/>
    <w:semiHidden/>
    <w:rsid w:val="00131FD7"/>
    <w:pPr>
      <w:tabs>
        <w:tab w:val="right" w:leader="dot" w:pos="9360"/>
      </w:tabs>
      <w:suppressAutoHyphens/>
      <w:ind w:left="1440" w:right="720" w:hanging="720"/>
    </w:pPr>
  </w:style>
  <w:style w:type="paragraph" w:styleId="TOC3">
    <w:name w:val="toc 3"/>
    <w:basedOn w:val="Normal"/>
    <w:next w:val="Normal"/>
    <w:semiHidden/>
    <w:rsid w:val="00131FD7"/>
    <w:pPr>
      <w:tabs>
        <w:tab w:val="right" w:leader="dot" w:pos="9360"/>
      </w:tabs>
      <w:suppressAutoHyphens/>
      <w:ind w:left="2160" w:right="720" w:hanging="720"/>
    </w:pPr>
  </w:style>
  <w:style w:type="paragraph" w:styleId="TOC4">
    <w:name w:val="toc 4"/>
    <w:basedOn w:val="Normal"/>
    <w:next w:val="Normal"/>
    <w:semiHidden/>
    <w:rsid w:val="00131FD7"/>
    <w:pPr>
      <w:tabs>
        <w:tab w:val="right" w:leader="dot" w:pos="9360"/>
      </w:tabs>
      <w:suppressAutoHyphens/>
      <w:ind w:left="2880" w:right="720" w:hanging="720"/>
    </w:pPr>
  </w:style>
  <w:style w:type="paragraph" w:styleId="TOC5">
    <w:name w:val="toc 5"/>
    <w:basedOn w:val="Normal"/>
    <w:next w:val="Normal"/>
    <w:semiHidden/>
    <w:rsid w:val="00131FD7"/>
    <w:pPr>
      <w:tabs>
        <w:tab w:val="right" w:leader="dot" w:pos="9360"/>
      </w:tabs>
      <w:suppressAutoHyphens/>
      <w:ind w:left="3600" w:right="720" w:hanging="720"/>
    </w:pPr>
  </w:style>
  <w:style w:type="paragraph" w:styleId="TOC6">
    <w:name w:val="toc 6"/>
    <w:basedOn w:val="Normal"/>
    <w:next w:val="Normal"/>
    <w:semiHidden/>
    <w:rsid w:val="00131FD7"/>
    <w:pPr>
      <w:tabs>
        <w:tab w:val="right" w:pos="9360"/>
      </w:tabs>
      <w:suppressAutoHyphens/>
      <w:ind w:left="720" w:hanging="720"/>
    </w:pPr>
  </w:style>
  <w:style w:type="paragraph" w:styleId="TOC7">
    <w:name w:val="toc 7"/>
    <w:basedOn w:val="Normal"/>
    <w:next w:val="Normal"/>
    <w:semiHidden/>
    <w:rsid w:val="00131FD7"/>
    <w:pPr>
      <w:suppressAutoHyphens/>
      <w:ind w:left="720" w:hanging="720"/>
    </w:pPr>
  </w:style>
  <w:style w:type="paragraph" w:styleId="TOC8">
    <w:name w:val="toc 8"/>
    <w:basedOn w:val="Normal"/>
    <w:next w:val="Normal"/>
    <w:semiHidden/>
    <w:rsid w:val="00131FD7"/>
    <w:pPr>
      <w:tabs>
        <w:tab w:val="right" w:pos="9360"/>
      </w:tabs>
      <w:suppressAutoHyphens/>
      <w:ind w:left="720" w:hanging="720"/>
    </w:pPr>
  </w:style>
  <w:style w:type="paragraph" w:styleId="TOC9">
    <w:name w:val="toc 9"/>
    <w:basedOn w:val="Normal"/>
    <w:next w:val="Normal"/>
    <w:semiHidden/>
    <w:rsid w:val="00131FD7"/>
    <w:pPr>
      <w:tabs>
        <w:tab w:val="right" w:leader="dot" w:pos="9360"/>
      </w:tabs>
      <w:suppressAutoHyphens/>
      <w:ind w:left="720" w:hanging="720"/>
    </w:pPr>
  </w:style>
  <w:style w:type="paragraph" w:styleId="Index1">
    <w:name w:val="index 1"/>
    <w:basedOn w:val="Normal"/>
    <w:next w:val="Normal"/>
    <w:semiHidden/>
    <w:rsid w:val="00131FD7"/>
    <w:pPr>
      <w:tabs>
        <w:tab w:val="right" w:leader="dot" w:pos="9360"/>
      </w:tabs>
      <w:suppressAutoHyphens/>
      <w:ind w:left="1440" w:right="720" w:hanging="1440"/>
    </w:pPr>
  </w:style>
  <w:style w:type="paragraph" w:styleId="Index2">
    <w:name w:val="index 2"/>
    <w:basedOn w:val="Normal"/>
    <w:next w:val="Normal"/>
    <w:semiHidden/>
    <w:rsid w:val="00131FD7"/>
    <w:pPr>
      <w:tabs>
        <w:tab w:val="right" w:leader="dot" w:pos="9360"/>
      </w:tabs>
      <w:suppressAutoHyphens/>
      <w:ind w:left="1440" w:right="720" w:hanging="720"/>
    </w:pPr>
  </w:style>
  <w:style w:type="paragraph" w:styleId="TOAHeading">
    <w:name w:val="toa heading"/>
    <w:basedOn w:val="Normal"/>
    <w:next w:val="Normal"/>
    <w:semiHidden/>
    <w:rsid w:val="00131FD7"/>
    <w:pPr>
      <w:tabs>
        <w:tab w:val="right" w:pos="9360"/>
      </w:tabs>
      <w:suppressAutoHyphens/>
    </w:pPr>
  </w:style>
  <w:style w:type="paragraph" w:styleId="Caption">
    <w:name w:val="caption"/>
    <w:basedOn w:val="Normal"/>
    <w:next w:val="Normal"/>
    <w:qFormat/>
    <w:rsid w:val="00131FD7"/>
  </w:style>
  <w:style w:type="character" w:customStyle="1" w:styleId="EquationCaption">
    <w:name w:val="_Equation Caption"/>
    <w:rsid w:val="00131FD7"/>
  </w:style>
  <w:style w:type="paragraph" w:styleId="Header">
    <w:name w:val="header"/>
    <w:basedOn w:val="Normal"/>
    <w:link w:val="HeaderChar"/>
    <w:uiPriority w:val="99"/>
    <w:rsid w:val="00131FD7"/>
    <w:pPr>
      <w:tabs>
        <w:tab w:val="center" w:pos="4320"/>
        <w:tab w:val="right" w:pos="8640"/>
      </w:tabs>
    </w:pPr>
  </w:style>
  <w:style w:type="paragraph" w:styleId="Footer">
    <w:name w:val="footer"/>
    <w:basedOn w:val="Normal"/>
    <w:link w:val="FooterChar"/>
    <w:rsid w:val="00131FD7"/>
    <w:pPr>
      <w:tabs>
        <w:tab w:val="center" w:pos="4320"/>
        <w:tab w:val="right" w:pos="8640"/>
      </w:tabs>
    </w:pPr>
  </w:style>
  <w:style w:type="character" w:styleId="PageNumber">
    <w:name w:val="page number"/>
    <w:basedOn w:val="DefaultParagraphFont"/>
    <w:rsid w:val="00131FD7"/>
  </w:style>
  <w:style w:type="character" w:customStyle="1" w:styleId="DeltaViewInsertion">
    <w:name w:val="DeltaView Insertion"/>
    <w:rsid w:val="006B49CF"/>
    <w:rPr>
      <w:color w:val="0000FF"/>
      <w:u w:val="double"/>
    </w:rPr>
  </w:style>
  <w:style w:type="character" w:customStyle="1" w:styleId="DeltaViewDeletion">
    <w:name w:val="DeltaView Deletion"/>
    <w:rsid w:val="006B49CF"/>
    <w:rPr>
      <w:strike/>
      <w:color w:val="FF0000"/>
    </w:rPr>
  </w:style>
  <w:style w:type="paragraph" w:styleId="NormalWeb">
    <w:name w:val="Normal (Web)"/>
    <w:basedOn w:val="Normal"/>
    <w:rsid w:val="006B49CF"/>
    <w:pPr>
      <w:widowControl/>
      <w:spacing w:before="100" w:beforeAutospacing="1" w:after="100" w:afterAutospacing="1"/>
    </w:pPr>
    <w:rPr>
      <w:rFonts w:ascii="Times New Roman" w:hAnsi="Times New Roman"/>
      <w:szCs w:val="24"/>
    </w:rPr>
  </w:style>
  <w:style w:type="character" w:customStyle="1" w:styleId="FooterChar">
    <w:name w:val="Footer Char"/>
    <w:basedOn w:val="DefaultParagraphFont"/>
    <w:link w:val="Footer"/>
    <w:rsid w:val="00F75CAD"/>
    <w:rPr>
      <w:rFonts w:ascii="Courier New" w:hAnsi="Courier New"/>
      <w:sz w:val="24"/>
      <w:lang w:val="en-US" w:eastAsia="en-US" w:bidi="ar-SA"/>
    </w:rPr>
  </w:style>
  <w:style w:type="paragraph" w:styleId="ListParagraph">
    <w:name w:val="List Paragraph"/>
    <w:basedOn w:val="Normal"/>
    <w:uiPriority w:val="34"/>
    <w:qFormat/>
    <w:rsid w:val="00DB37C5"/>
    <w:pPr>
      <w:ind w:left="720"/>
      <w:contextualSpacing/>
    </w:pPr>
  </w:style>
  <w:style w:type="character" w:customStyle="1" w:styleId="HeaderChar">
    <w:name w:val="Header Char"/>
    <w:basedOn w:val="DefaultParagraphFont"/>
    <w:link w:val="Header"/>
    <w:uiPriority w:val="99"/>
    <w:rsid w:val="0007159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4486">
      <w:bodyDiv w:val="1"/>
      <w:marLeft w:val="0"/>
      <w:marRight w:val="0"/>
      <w:marTop w:val="0"/>
      <w:marBottom w:val="0"/>
      <w:divBdr>
        <w:top w:val="none" w:sz="0" w:space="0" w:color="auto"/>
        <w:left w:val="none" w:sz="0" w:space="0" w:color="auto"/>
        <w:bottom w:val="none" w:sz="0" w:space="0" w:color="auto"/>
        <w:right w:val="none" w:sz="0" w:space="0" w:color="auto"/>
      </w:divBdr>
    </w:div>
    <w:div w:id="961880307">
      <w:bodyDiv w:val="1"/>
      <w:marLeft w:val="0"/>
      <w:marRight w:val="0"/>
      <w:marTop w:val="0"/>
      <w:marBottom w:val="0"/>
      <w:divBdr>
        <w:top w:val="none" w:sz="0" w:space="0" w:color="auto"/>
        <w:left w:val="none" w:sz="0" w:space="0" w:color="auto"/>
        <w:bottom w:val="none" w:sz="0" w:space="0" w:color="auto"/>
        <w:right w:val="none" w:sz="0" w:space="0" w:color="auto"/>
      </w:divBdr>
    </w:div>
    <w:div w:id="15757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12671</Characters>
  <Application>Microsoft Office Word</Application>
  <DocSecurity>4</DocSecurity>
  <Lines>226</Lines>
  <Paragraphs>76</Paragraphs>
  <ScaleCrop>false</ScaleCrop>
  <Company/>
  <LinksUpToDate>false</LinksUpToDate>
  <CharactersWithSpaces>14865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2015-09-25T14:24:00Z</dcterms:created>
  <dcterms:modified xsi:type="dcterms:W3CDTF">2015-09-25T14:24:00Z</dcterms:modified>
</cp:coreProperties>
</file>